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37CE" w14:textId="326BD90E" w:rsidR="008C2202" w:rsidRDefault="008C2202" w:rsidP="003E72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72BD82" wp14:editId="7B8B5BC8">
            <wp:extent cx="5760720" cy="2529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wtl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8811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6BFDD0C9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76C164FA" w14:textId="1299589C" w:rsidR="008C2202" w:rsidRDefault="008C2202" w:rsidP="003E7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prasowa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dn. 20.11.2023r.</w:t>
      </w:r>
    </w:p>
    <w:p w14:paraId="744BC361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1993441F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41A911AF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033F9C58" w14:textId="77777777" w:rsidR="008C2202" w:rsidRDefault="008C2202" w:rsidP="003E729E">
      <w:pPr>
        <w:jc w:val="both"/>
        <w:rPr>
          <w:rFonts w:ascii="Times New Roman" w:hAnsi="Times New Roman" w:cs="Times New Roman"/>
        </w:rPr>
      </w:pPr>
    </w:p>
    <w:p w14:paraId="08507543" w14:textId="0CB0D3FE" w:rsidR="008733BA" w:rsidRDefault="003B0AD4" w:rsidP="003E729E">
      <w:pPr>
        <w:jc w:val="both"/>
        <w:rPr>
          <w:rFonts w:ascii="Times New Roman" w:hAnsi="Times New Roman" w:cs="Times New Roman"/>
          <w:b/>
          <w:bCs/>
          <w:color w:val="002060"/>
        </w:rPr>
      </w:pPr>
      <w:r w:rsidRPr="003B0AD4">
        <w:rPr>
          <w:rFonts w:ascii="Times New Roman" w:hAnsi="Times New Roman" w:cs="Times New Roman"/>
        </w:rPr>
        <w:tab/>
      </w:r>
      <w:r w:rsidRPr="003B0AD4">
        <w:rPr>
          <w:rFonts w:ascii="Times New Roman" w:hAnsi="Times New Roman" w:cs="Times New Roman"/>
        </w:rPr>
        <w:tab/>
      </w:r>
      <w:r w:rsidRPr="003B0AD4">
        <w:rPr>
          <w:rFonts w:ascii="Times New Roman" w:hAnsi="Times New Roman" w:cs="Times New Roman"/>
        </w:rPr>
        <w:tab/>
      </w:r>
      <w:r w:rsidRPr="008C2202">
        <w:rPr>
          <w:rFonts w:ascii="Times New Roman" w:hAnsi="Times New Roman" w:cs="Times New Roman"/>
          <w:b/>
          <w:bCs/>
          <w:color w:val="002060"/>
        </w:rPr>
        <w:t xml:space="preserve">Weź żelazo na poważnie. </w:t>
      </w:r>
      <w:r w:rsidR="008C2202" w:rsidRPr="008C2202">
        <w:rPr>
          <w:rFonts w:ascii="Times New Roman" w:hAnsi="Times New Roman" w:cs="Times New Roman"/>
          <w:b/>
          <w:bCs/>
          <w:color w:val="002060"/>
        </w:rPr>
        <w:t xml:space="preserve">Słuchaj swojego ciała. </w:t>
      </w:r>
    </w:p>
    <w:p w14:paraId="0133035D" w14:textId="77777777" w:rsidR="001361CD" w:rsidRDefault="001361CD" w:rsidP="003E729E">
      <w:pPr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528710C3" w14:textId="3A33D84F" w:rsidR="00D820B7" w:rsidRDefault="001361CD" w:rsidP="003E729E">
      <w:pPr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Co roku, w dniu 26 listopada, obchodzony jest Dzień Niedoboru Żelaza. </w:t>
      </w:r>
      <w:r w:rsidR="0038626E">
        <w:rPr>
          <w:rFonts w:ascii="Times New Roman" w:hAnsi="Times New Roman" w:cs="Times New Roman"/>
          <w:b/>
          <w:bCs/>
          <w:color w:val="002060"/>
        </w:rPr>
        <w:t xml:space="preserve">Ten dzień, jak </w:t>
      </w:r>
      <w:r w:rsidR="009967AA">
        <w:rPr>
          <w:rFonts w:ascii="Times New Roman" w:hAnsi="Times New Roman" w:cs="Times New Roman"/>
          <w:b/>
          <w:bCs/>
          <w:color w:val="002060"/>
        </w:rPr>
        <w:br/>
      </w:r>
      <w:r w:rsidR="0038626E">
        <w:rPr>
          <w:rFonts w:ascii="Times New Roman" w:hAnsi="Times New Roman" w:cs="Times New Roman"/>
          <w:b/>
          <w:bCs/>
          <w:color w:val="002060"/>
        </w:rPr>
        <w:t xml:space="preserve">i organizowana co roku kampania </w:t>
      </w:r>
      <w:r w:rsidR="0038626E" w:rsidRPr="001D59CA">
        <w:rPr>
          <w:rFonts w:ascii="Times New Roman" w:hAnsi="Times New Roman" w:cs="Times New Roman"/>
          <w:b/>
          <w:bCs/>
          <w:i/>
          <w:color w:val="002060"/>
        </w:rPr>
        <w:t xml:space="preserve">„Weź żelazo na poważnie. Słuchaj swojego ciała” </w:t>
      </w:r>
      <w:r w:rsidR="0038626E">
        <w:rPr>
          <w:rFonts w:ascii="Times New Roman" w:hAnsi="Times New Roman" w:cs="Times New Roman"/>
          <w:b/>
          <w:bCs/>
          <w:color w:val="002060"/>
        </w:rPr>
        <w:t>ma na celu zwiększenie świadomości na temat poważnego problemu zdro</w:t>
      </w:r>
      <w:r w:rsidR="009967AA">
        <w:rPr>
          <w:rFonts w:ascii="Times New Roman" w:hAnsi="Times New Roman" w:cs="Times New Roman"/>
          <w:b/>
          <w:bCs/>
          <w:color w:val="002060"/>
        </w:rPr>
        <w:t xml:space="preserve">wia, jakim jest niedobór żelaza, a także </w:t>
      </w:r>
      <w:r w:rsidR="0038626E">
        <w:rPr>
          <w:rFonts w:ascii="Times New Roman" w:hAnsi="Times New Roman" w:cs="Times New Roman"/>
          <w:b/>
          <w:bCs/>
          <w:color w:val="002060"/>
        </w:rPr>
        <w:t xml:space="preserve">zwrócenie uwagi na często niezauważane, niewłaściwie rozpoznawane czy pomijane objawy niedoboru żelaza </w:t>
      </w:r>
      <w:r w:rsidR="009967AA">
        <w:rPr>
          <w:rFonts w:ascii="Times New Roman" w:hAnsi="Times New Roman" w:cs="Times New Roman"/>
          <w:b/>
          <w:bCs/>
          <w:color w:val="002060"/>
        </w:rPr>
        <w:t>i idące za nimi poważn</w:t>
      </w:r>
      <w:r w:rsidR="001D59CA">
        <w:rPr>
          <w:rFonts w:ascii="Times New Roman" w:hAnsi="Times New Roman" w:cs="Times New Roman"/>
          <w:b/>
          <w:bCs/>
          <w:color w:val="002060"/>
        </w:rPr>
        <w:t>e konsekwencje zdrowotne, jak również na sposoby radzenia sobie z niedoborem żelaza.</w:t>
      </w:r>
    </w:p>
    <w:p w14:paraId="2BF5E188" w14:textId="77777777" w:rsidR="0038626E" w:rsidRDefault="0038626E" w:rsidP="003E729E">
      <w:pPr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312BC018" w14:textId="3063DA42" w:rsidR="006850CA" w:rsidRDefault="006850CA" w:rsidP="006850CA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6850CA">
        <w:rPr>
          <w:rFonts w:ascii="Times New Roman" w:hAnsi="Times New Roman" w:cs="Times New Roman"/>
          <w:b/>
          <w:bCs/>
          <w:noProof/>
          <w:color w:val="002060"/>
          <w:lang w:eastAsia="pl-PL"/>
        </w:rPr>
        <w:drawing>
          <wp:inline distT="0" distB="0" distL="0" distR="0" wp14:anchorId="01B8EBC6" wp14:editId="2C3B83E3">
            <wp:extent cx="2238375" cy="225185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518" cy="228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2957" w14:textId="77777777" w:rsidR="006850CA" w:rsidRDefault="006850CA" w:rsidP="003E729E">
      <w:pPr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584235E5" w14:textId="4FCB3FC6" w:rsidR="001361CD" w:rsidRPr="00137F87" w:rsidRDefault="009967AA" w:rsidP="00137F87">
      <w:pPr>
        <w:pStyle w:val="NormalnyWeb"/>
        <w:spacing w:before="0" w:beforeAutospacing="0" w:after="0" w:afterAutospacing="0"/>
        <w:jc w:val="both"/>
      </w:pPr>
      <w:r w:rsidRPr="00137F87">
        <w:t>Niedobór żelaza i niedok</w:t>
      </w:r>
      <w:r w:rsidR="001D59CA" w:rsidRPr="00137F87">
        <w:t>rwistość z niedoboru żelaza może</w:t>
      </w:r>
      <w:r w:rsidRPr="00137F87">
        <w:t xml:space="preserve"> dotyczyć każdego. To powszechne schorzenie, występuje już na całym </w:t>
      </w:r>
      <w:r w:rsidR="00FC38E5" w:rsidRPr="00137F87">
        <w:t>świecie i dotyka zarówno kobiet</w:t>
      </w:r>
      <w:r w:rsidRPr="00137F87">
        <w:t xml:space="preserve"> jak i mężczyzn; osoby młodsze jak i starsze</w:t>
      </w:r>
      <w:r w:rsidR="001D1164" w:rsidRPr="00137F87">
        <w:rPr>
          <w:vertAlign w:val="superscript"/>
        </w:rPr>
        <w:t>1</w:t>
      </w:r>
      <w:r w:rsidR="005676B3" w:rsidRPr="00137F87">
        <w:t xml:space="preserve">. Niedobór żelaza jest najbardziej rozpowszechniony wśród kobiet </w:t>
      </w:r>
      <w:r w:rsidR="005676B3" w:rsidRPr="00137F87">
        <w:br/>
        <w:t xml:space="preserve">w okresie </w:t>
      </w:r>
      <w:r w:rsidR="00137F87" w:rsidRPr="00137F87">
        <w:t>przed menopauzalnym</w:t>
      </w:r>
      <w:r w:rsidR="005676B3" w:rsidRPr="00137F87">
        <w:t>, kobiet w ciąży oraz dzieci w wieku poniżej 5 lat.</w:t>
      </w:r>
      <w:r w:rsidR="003E69BD" w:rsidRPr="004A7DC9">
        <w:rPr>
          <w:vertAlign w:val="superscript"/>
        </w:rPr>
        <w:t>2</w:t>
      </w:r>
      <w:r w:rsidR="005676B3" w:rsidRPr="00137F87">
        <w:t xml:space="preserve"> W Europie niedobór żelaza dotyka do 33% kobiet w okresie </w:t>
      </w:r>
      <w:r w:rsidR="00137F87" w:rsidRPr="00137F87">
        <w:t>przed menopauzalnym</w:t>
      </w:r>
      <w:r w:rsidR="005676B3" w:rsidRPr="00137F87">
        <w:t>, do 77% kobiet w ciąży oraz do 48% dzieci</w:t>
      </w:r>
      <w:r w:rsidR="00137F87" w:rsidRPr="00137F87">
        <w:rPr>
          <w:vertAlign w:val="superscript"/>
        </w:rPr>
        <w:t>2</w:t>
      </w:r>
      <w:r w:rsidR="00137F87">
        <w:t>.</w:t>
      </w:r>
    </w:p>
    <w:p w14:paraId="296490FD" w14:textId="022D759E" w:rsidR="00D820B7" w:rsidRPr="00D820B7" w:rsidRDefault="00D820B7" w:rsidP="00D820B7">
      <w:pPr>
        <w:jc w:val="center"/>
        <w:rPr>
          <w:rFonts w:ascii="Times New Roman" w:hAnsi="Times New Roman" w:cs="Times New Roman"/>
          <w:b/>
          <w:color w:val="002060"/>
        </w:rPr>
      </w:pPr>
      <w:r w:rsidRPr="00D820B7">
        <w:rPr>
          <w:rFonts w:ascii="Times New Roman" w:hAnsi="Times New Roman" w:cs="Times New Roman"/>
          <w:b/>
          <w:color w:val="002060"/>
        </w:rPr>
        <w:lastRenderedPageBreak/>
        <w:t>Znaczenie żelaza i jego niedoboru</w:t>
      </w:r>
    </w:p>
    <w:p w14:paraId="4CA30FF8" w14:textId="77777777" w:rsidR="00270F86" w:rsidRPr="003B0AD4" w:rsidRDefault="00270F86" w:rsidP="003E729E">
      <w:pPr>
        <w:jc w:val="both"/>
        <w:rPr>
          <w:rFonts w:ascii="Times New Roman" w:hAnsi="Times New Roman" w:cs="Times New Roman"/>
        </w:rPr>
      </w:pPr>
    </w:p>
    <w:p w14:paraId="2C403E62" w14:textId="4A994854" w:rsidR="00916D15" w:rsidRDefault="003B0AD4" w:rsidP="00916D15">
      <w:pPr>
        <w:pStyle w:val="NormalnyWeb"/>
        <w:spacing w:before="0" w:beforeAutospacing="0" w:after="0" w:afterAutospacing="0"/>
        <w:jc w:val="both"/>
      </w:pPr>
      <w:r w:rsidRPr="003B0AD4">
        <w:t>Mówiąc</w:t>
      </w:r>
      <w:r w:rsidR="008733BA" w:rsidRPr="003B0AD4">
        <w:t xml:space="preserve"> prosto, bez </w:t>
      </w:r>
      <w:r w:rsidRPr="003B0AD4">
        <w:t>wystarczającej</w:t>
      </w:r>
      <w:r w:rsidR="008733BA" w:rsidRPr="003B0AD4">
        <w:t xml:space="preserve"> </w:t>
      </w:r>
      <w:r w:rsidRPr="003B0AD4">
        <w:t>ilości</w:t>
      </w:r>
      <w:r w:rsidR="008733BA" w:rsidRPr="003B0AD4">
        <w:t xml:space="preserve"> </w:t>
      </w:r>
      <w:r w:rsidRPr="003B0AD4">
        <w:t>żelaza</w:t>
      </w:r>
      <w:r w:rsidR="008733BA" w:rsidRPr="003B0AD4">
        <w:t xml:space="preserve"> ludzkie ciało nie jest w stanie </w:t>
      </w:r>
      <w:r w:rsidRPr="003B0AD4">
        <w:t>działa</w:t>
      </w:r>
      <w:r w:rsidR="004A7DC9">
        <w:t>ć</w:t>
      </w:r>
      <w:r w:rsidR="008733BA" w:rsidRPr="003B0AD4">
        <w:t xml:space="preserve"> prawidłowo. </w:t>
      </w:r>
      <w:r w:rsidRPr="003B0AD4">
        <w:t>Żelazo</w:t>
      </w:r>
      <w:r w:rsidR="00BC7F26" w:rsidRPr="003B0AD4">
        <w:t xml:space="preserve"> </w:t>
      </w:r>
      <w:r w:rsidR="008733BA" w:rsidRPr="003B0AD4">
        <w:t xml:space="preserve">jest niezbędne do produkcji czerwonych krwinek oraz zapewnienia sprawnego funkcjonowania serca i </w:t>
      </w:r>
      <w:r w:rsidRPr="003B0AD4">
        <w:t>mięśni</w:t>
      </w:r>
      <w:r w:rsidR="008733BA" w:rsidRPr="003B0AD4">
        <w:t xml:space="preserve"> szkieletowych</w:t>
      </w:r>
      <w:r w:rsidR="003E69BD" w:rsidRPr="003E69BD">
        <w:rPr>
          <w:vertAlign w:val="superscript"/>
        </w:rPr>
        <w:t>3</w:t>
      </w:r>
      <w:r w:rsidR="008733BA" w:rsidRPr="003B0AD4">
        <w:t>.</w:t>
      </w:r>
      <w:r w:rsidR="003E729E" w:rsidRPr="003B0AD4">
        <w:rPr>
          <w:position w:val="6"/>
        </w:rPr>
        <w:t xml:space="preserve"> </w:t>
      </w:r>
      <w:r w:rsidR="008733BA" w:rsidRPr="003B0AD4">
        <w:t xml:space="preserve">Odgrywa </w:t>
      </w:r>
      <w:r w:rsidRPr="003B0AD4">
        <w:t>również</w:t>
      </w:r>
      <w:r w:rsidR="008733BA" w:rsidRPr="003B0AD4">
        <w:t xml:space="preserve">̇ istotną rolę </w:t>
      </w:r>
      <w:r w:rsidRPr="003B0AD4">
        <w:br/>
      </w:r>
      <w:r w:rsidR="008733BA" w:rsidRPr="003B0AD4">
        <w:t xml:space="preserve">w zwalczaniu infekcji i </w:t>
      </w:r>
      <w:r w:rsidRPr="003B0AD4">
        <w:t>chorób</w:t>
      </w:r>
      <w:r w:rsidR="003E69BD" w:rsidRPr="003E69BD">
        <w:rPr>
          <w:vertAlign w:val="superscript"/>
        </w:rPr>
        <w:t>4</w:t>
      </w:r>
      <w:r w:rsidR="008733BA" w:rsidRPr="003B0AD4">
        <w:t>,</w:t>
      </w:r>
      <w:r w:rsidR="008733BA" w:rsidRPr="003B0AD4">
        <w:rPr>
          <w:position w:val="6"/>
        </w:rPr>
        <w:t xml:space="preserve"> </w:t>
      </w:r>
      <w:r w:rsidR="008733BA" w:rsidRPr="003B0AD4">
        <w:t>utrzymaniu odpowiedniego poziomu energii</w:t>
      </w:r>
      <w:r w:rsidR="003E69BD" w:rsidRPr="003E69BD">
        <w:rPr>
          <w:vertAlign w:val="superscript"/>
        </w:rPr>
        <w:t>5</w:t>
      </w:r>
      <w:r w:rsidR="008733BA" w:rsidRPr="003B0AD4">
        <w:rPr>
          <w:position w:val="6"/>
        </w:rPr>
        <w:t xml:space="preserve"> </w:t>
      </w:r>
      <w:r w:rsidR="008733BA" w:rsidRPr="003B0AD4">
        <w:t xml:space="preserve">i prawidłowym funkcjonowaniu </w:t>
      </w:r>
      <w:r w:rsidRPr="003B0AD4">
        <w:t>mózgu</w:t>
      </w:r>
      <w:r w:rsidR="008733BA" w:rsidRPr="003B0AD4">
        <w:t xml:space="preserve">. </w:t>
      </w:r>
      <w:r w:rsidRPr="003B0AD4">
        <w:t>Niedobór</w:t>
      </w:r>
      <w:r w:rsidR="008733BA" w:rsidRPr="003B0AD4">
        <w:t xml:space="preserve"> </w:t>
      </w:r>
      <w:r w:rsidRPr="003B0AD4">
        <w:t>żelaza</w:t>
      </w:r>
      <w:r w:rsidR="008733BA" w:rsidRPr="003B0AD4">
        <w:t xml:space="preserve"> oznacza, </w:t>
      </w:r>
      <w:r w:rsidRPr="003B0AD4">
        <w:t>że</w:t>
      </w:r>
      <w:r w:rsidR="008733BA" w:rsidRPr="003B0AD4">
        <w:t xml:space="preserve"> jego ilość w organizmie jest </w:t>
      </w:r>
      <w:r w:rsidRPr="003B0AD4">
        <w:t>niewystarczająca</w:t>
      </w:r>
      <w:r w:rsidR="008733BA" w:rsidRPr="003B0AD4">
        <w:t xml:space="preserve">, aby </w:t>
      </w:r>
      <w:r w:rsidRPr="003B0AD4">
        <w:t>mógł</w:t>
      </w:r>
      <w:r w:rsidR="008733BA" w:rsidRPr="003B0AD4">
        <w:t xml:space="preserve"> on prawidłowo </w:t>
      </w:r>
      <w:r w:rsidRPr="003B0AD4">
        <w:t>funkcjonowa</w:t>
      </w:r>
      <w:r w:rsidR="004A7DC9">
        <w:t>ć</w:t>
      </w:r>
      <w:r w:rsidR="008733BA" w:rsidRPr="003B0AD4">
        <w:t>.</w:t>
      </w:r>
      <w:r w:rsidR="00916D15" w:rsidRPr="00916D15">
        <w:t xml:space="preserve"> </w:t>
      </w:r>
    </w:p>
    <w:p w14:paraId="76FC071E" w14:textId="77777777" w:rsidR="00916D15" w:rsidRDefault="00916D15" w:rsidP="00916D15">
      <w:pPr>
        <w:pStyle w:val="NormalnyWeb"/>
        <w:spacing w:before="0" w:beforeAutospacing="0" w:after="0" w:afterAutospacing="0"/>
        <w:jc w:val="both"/>
      </w:pPr>
    </w:p>
    <w:p w14:paraId="20872D90" w14:textId="68F98DCD" w:rsidR="003B0AD4" w:rsidRPr="00712ABF" w:rsidRDefault="00916D15" w:rsidP="00712ABF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3B0AD4">
        <w:t xml:space="preserve">Organizm </w:t>
      </w:r>
      <w:r w:rsidR="004A7DC9" w:rsidRPr="003B0AD4">
        <w:t xml:space="preserve">przyjmuje </w:t>
      </w:r>
      <w:r w:rsidRPr="003B0AD4">
        <w:t>żelazo głównie z pokarmu</w:t>
      </w:r>
      <w:r w:rsidR="005F74BF" w:rsidRPr="005F74BF">
        <w:rPr>
          <w:vertAlign w:val="superscript"/>
        </w:rPr>
        <w:t>6</w:t>
      </w:r>
      <w:r w:rsidRPr="003B0AD4">
        <w:t xml:space="preserve">. </w:t>
      </w:r>
      <w:r w:rsidR="00702037">
        <w:t>Część</w:t>
      </w:r>
      <w:r w:rsidRPr="003B0AD4">
        <w:t xml:space="preserve"> pul</w:t>
      </w:r>
      <w:r w:rsidR="00702037">
        <w:t>i</w:t>
      </w:r>
      <w:r w:rsidRPr="003B0AD4">
        <w:t xml:space="preserve"> żelaza zużywana jest do produkcji hemoglobiny</w:t>
      </w:r>
      <w:r w:rsidR="00702037">
        <w:t>, r</w:t>
      </w:r>
      <w:r w:rsidRPr="003B0AD4">
        <w:t xml:space="preserve">esztę żelaza organizm </w:t>
      </w:r>
      <w:r w:rsidR="00702037">
        <w:t>magazynuje</w:t>
      </w:r>
      <w:r w:rsidRPr="003B0AD4">
        <w:t xml:space="preserve">. </w:t>
      </w:r>
      <w:r w:rsidR="00702037" w:rsidRPr="00702037">
        <w:t>Niedokrwistość z niedoboru żelaza występuje, gdy poziom żelaza zmagazynowanego w organizmie jest tak niski, że organizm nie jest już w stanie wytworzyć wystarczającej ilości hemoglobiny do budowania zdrowych czerwonych krwinek</w:t>
      </w:r>
      <w:r w:rsidR="00702037">
        <w:rPr>
          <w:vertAlign w:val="superscript"/>
        </w:rPr>
        <w:t>7</w:t>
      </w:r>
      <w:r w:rsidRPr="003B0AD4">
        <w:t xml:space="preserve">. </w:t>
      </w:r>
      <w:r w:rsidRPr="003B0AD4">
        <w:rPr>
          <w:color w:val="333333"/>
        </w:rPr>
        <w:t>Wpływa to na stopniowe pogarszanie się ogólnego stanu zdrowia i wystąpienie objawów klinicznych niedokrwistości</w:t>
      </w:r>
      <w:r w:rsidR="00702037" w:rsidRPr="00702037">
        <w:rPr>
          <w:color w:val="333333"/>
          <w:vertAlign w:val="superscript"/>
        </w:rPr>
        <w:t>2</w:t>
      </w:r>
      <w:r w:rsidRPr="003B0AD4">
        <w:rPr>
          <w:color w:val="333333"/>
        </w:rPr>
        <w:t>.</w:t>
      </w:r>
    </w:p>
    <w:p w14:paraId="3B1041DC" w14:textId="77777777" w:rsidR="004D0D7F" w:rsidRDefault="004D0D7F" w:rsidP="004D0D7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</w:p>
    <w:p w14:paraId="202E8629" w14:textId="77777777" w:rsidR="008A1395" w:rsidRDefault="008A1395" w:rsidP="004D0D7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</w:p>
    <w:p w14:paraId="0C2D8032" w14:textId="77777777" w:rsidR="0050420A" w:rsidRPr="0050420A" w:rsidRDefault="0050420A" w:rsidP="0050420A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50420A">
        <w:rPr>
          <w:rFonts w:ascii="Times New Roman" w:hAnsi="Times New Roman" w:cs="Times New Roman"/>
          <w:b/>
          <w:bCs/>
          <w:color w:val="002060"/>
        </w:rPr>
        <w:t>Niedobór żelaza – objawy</w:t>
      </w:r>
    </w:p>
    <w:p w14:paraId="489BB3D0" w14:textId="77777777" w:rsidR="0050420A" w:rsidRPr="003B0AD4" w:rsidRDefault="0050420A" w:rsidP="0050420A">
      <w:pPr>
        <w:jc w:val="both"/>
        <w:rPr>
          <w:rFonts w:ascii="Times New Roman" w:hAnsi="Times New Roman" w:cs="Times New Roman"/>
        </w:rPr>
      </w:pPr>
    </w:p>
    <w:p w14:paraId="184E0E81" w14:textId="47B3A0C4" w:rsidR="0050420A" w:rsidRPr="003B0AD4" w:rsidRDefault="0050420A" w:rsidP="0050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3B0AD4">
        <w:rPr>
          <w:rFonts w:ascii="Times New Roman" w:hAnsi="Times New Roman" w:cs="Times New Roman"/>
        </w:rPr>
        <w:t xml:space="preserve">Zauważanie u siebie objawów, takich jak: </w:t>
      </w:r>
      <w:r w:rsidRPr="003B0AD4">
        <w:rPr>
          <w:rFonts w:ascii="Times New Roman" w:hAnsi="Times New Roman" w:cs="Times New Roman"/>
          <w:color w:val="000000"/>
          <w:kern w:val="0"/>
        </w:rPr>
        <w:t>powtarzające się bóle głowy</w:t>
      </w:r>
      <w:r w:rsidR="00702037" w:rsidRPr="00702037">
        <w:rPr>
          <w:rFonts w:ascii="Times New Roman" w:hAnsi="Times New Roman" w:cs="Times New Roman"/>
          <w:color w:val="000000"/>
          <w:kern w:val="0"/>
          <w:vertAlign w:val="superscript"/>
        </w:rPr>
        <w:t>8</w:t>
      </w:r>
      <w:r w:rsidRPr="003B0AD4">
        <w:rPr>
          <w:rFonts w:ascii="Times New Roman" w:hAnsi="Times New Roman" w:cs="Times New Roman"/>
          <w:color w:val="000000"/>
          <w:kern w:val="0"/>
        </w:rPr>
        <w:t>, uczucie zmęczenia psychicznego, drażliwość, zawroty głowy, szybk</w:t>
      </w:r>
      <w:r w:rsidR="00CB6821">
        <w:rPr>
          <w:rFonts w:ascii="Times New Roman" w:hAnsi="Times New Roman" w:cs="Times New Roman"/>
          <w:color w:val="000000"/>
          <w:kern w:val="0"/>
        </w:rPr>
        <w:t>a</w:t>
      </w:r>
      <w:r w:rsidRPr="003B0AD4">
        <w:rPr>
          <w:rFonts w:ascii="Times New Roman" w:hAnsi="Times New Roman" w:cs="Times New Roman"/>
          <w:color w:val="000000"/>
          <w:kern w:val="0"/>
        </w:rPr>
        <w:t xml:space="preserve"> utrat</w:t>
      </w:r>
      <w:r w:rsidR="00CB6821">
        <w:rPr>
          <w:rFonts w:ascii="Times New Roman" w:hAnsi="Times New Roman" w:cs="Times New Roman"/>
          <w:color w:val="000000"/>
          <w:kern w:val="0"/>
        </w:rPr>
        <w:t>a</w:t>
      </w:r>
      <w:r w:rsidRPr="003B0AD4">
        <w:rPr>
          <w:rFonts w:ascii="Times New Roman" w:hAnsi="Times New Roman" w:cs="Times New Roman"/>
          <w:color w:val="000000"/>
          <w:kern w:val="0"/>
        </w:rPr>
        <w:t xml:space="preserve"> koncentracji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1,8-</w:t>
      </w:r>
      <w:r w:rsidR="00702037" w:rsidRPr="00A535C6">
        <w:rPr>
          <w:rFonts w:ascii="Times New Roman" w:hAnsi="Times New Roman" w:cs="Times New Roman"/>
          <w:color w:val="000000"/>
          <w:kern w:val="0"/>
          <w:vertAlign w:val="superscript"/>
        </w:rPr>
        <w:t>9</w:t>
      </w:r>
      <w:r w:rsidRPr="003B0AD4">
        <w:rPr>
          <w:rFonts w:ascii="Times New Roman" w:hAnsi="Times New Roman" w:cs="Times New Roman"/>
          <w:color w:val="000000"/>
          <w:kern w:val="0"/>
        </w:rPr>
        <w:t>, bolesne, białe zmiany wewnątrz jamy ustnej lub czerwone, łuszczące się pęknięcia po jednej lub obu stronach jamy ustnej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9-10</w:t>
      </w:r>
      <w:r w:rsidRPr="003B0AD4">
        <w:rPr>
          <w:rFonts w:ascii="Times New Roman" w:hAnsi="Times New Roman" w:cs="Times New Roman"/>
          <w:color w:val="000000"/>
          <w:kern w:val="0"/>
        </w:rPr>
        <w:t>, uczucie zmęczenia fizycznego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8-9</w:t>
      </w:r>
      <w:r w:rsidRPr="003B0AD4">
        <w:rPr>
          <w:rFonts w:ascii="Times New Roman" w:hAnsi="Times New Roman" w:cs="Times New Roman"/>
          <w:color w:val="000000"/>
          <w:kern w:val="0"/>
        </w:rPr>
        <w:t>, zimne ręce i/lub stopy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9-10</w:t>
      </w:r>
      <w:r w:rsidR="00DE771D">
        <w:rPr>
          <w:rFonts w:ascii="Times New Roman" w:hAnsi="Times New Roman" w:cs="Times New Roman"/>
          <w:color w:val="000000"/>
          <w:kern w:val="0"/>
        </w:rPr>
        <w:t xml:space="preserve">; kompulsywne, powtarzające się żucie lodu czy pragnienie jedzenia substancji niejadalnych takich jak </w:t>
      </w:r>
      <w:r w:rsidR="00916D15">
        <w:rPr>
          <w:rFonts w:ascii="Times New Roman" w:hAnsi="Times New Roman" w:cs="Times New Roman"/>
          <w:color w:val="000000"/>
          <w:kern w:val="0"/>
        </w:rPr>
        <w:t>ziemia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10-11</w:t>
      </w:r>
      <w:r w:rsidR="00916D15">
        <w:rPr>
          <w:rFonts w:ascii="Times New Roman" w:hAnsi="Times New Roman" w:cs="Times New Roman"/>
          <w:color w:val="000000"/>
          <w:kern w:val="0"/>
        </w:rPr>
        <w:t>, większ</w:t>
      </w:r>
      <w:r w:rsidR="00CB6821">
        <w:rPr>
          <w:rFonts w:ascii="Times New Roman" w:hAnsi="Times New Roman" w:cs="Times New Roman"/>
          <w:color w:val="000000"/>
          <w:kern w:val="0"/>
        </w:rPr>
        <w:t>a</w:t>
      </w:r>
      <w:r w:rsidR="00916D15">
        <w:rPr>
          <w:rFonts w:ascii="Times New Roman" w:hAnsi="Times New Roman" w:cs="Times New Roman"/>
          <w:color w:val="000000"/>
          <w:kern w:val="0"/>
        </w:rPr>
        <w:t xml:space="preserve"> niż zwykle liczb</w:t>
      </w:r>
      <w:r w:rsidR="00CB6821">
        <w:rPr>
          <w:rFonts w:ascii="Times New Roman" w:hAnsi="Times New Roman" w:cs="Times New Roman"/>
          <w:color w:val="000000"/>
          <w:kern w:val="0"/>
        </w:rPr>
        <w:t>a</w:t>
      </w:r>
      <w:r w:rsidR="00916D15">
        <w:rPr>
          <w:rFonts w:ascii="Times New Roman" w:hAnsi="Times New Roman" w:cs="Times New Roman"/>
          <w:color w:val="000000"/>
          <w:kern w:val="0"/>
        </w:rPr>
        <w:t xml:space="preserve"> infekcji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10</w:t>
      </w:r>
      <w:r w:rsidR="00916D15">
        <w:rPr>
          <w:rFonts w:ascii="Times New Roman" w:hAnsi="Times New Roman" w:cs="Times New Roman"/>
          <w:color w:val="000000"/>
          <w:kern w:val="0"/>
        </w:rPr>
        <w:t>, wypadanie włosów kępkami lub w większej ilości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12</w:t>
      </w:r>
      <w:r w:rsidR="00916D15">
        <w:rPr>
          <w:rFonts w:ascii="Times New Roman" w:hAnsi="Times New Roman" w:cs="Times New Roman"/>
          <w:color w:val="000000"/>
          <w:kern w:val="0"/>
        </w:rPr>
        <w:t>, problemy ze słuchem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13</w:t>
      </w:r>
      <w:r w:rsidR="00916D15">
        <w:rPr>
          <w:rFonts w:ascii="Times New Roman" w:hAnsi="Times New Roman" w:cs="Times New Roman"/>
          <w:color w:val="000000"/>
          <w:kern w:val="0"/>
        </w:rPr>
        <w:t xml:space="preserve"> czy bladość najbardziej widoczna na twarzy</w:t>
      </w:r>
      <w:r w:rsidR="00A535C6" w:rsidRPr="00A535C6">
        <w:rPr>
          <w:rFonts w:ascii="Times New Roman" w:hAnsi="Times New Roman" w:cs="Times New Roman"/>
          <w:color w:val="000000"/>
          <w:kern w:val="0"/>
          <w:vertAlign w:val="superscript"/>
        </w:rPr>
        <w:t>8-9</w:t>
      </w:r>
      <w:r w:rsidRPr="003B0AD4">
        <w:rPr>
          <w:rFonts w:ascii="Times New Roman" w:hAnsi="Times New Roman" w:cs="Times New Roman"/>
          <w:color w:val="000000"/>
          <w:kern w:val="0"/>
        </w:rPr>
        <w:t xml:space="preserve"> to oznaka, że w naszym organizmie może występować niedobór żelaza. </w:t>
      </w:r>
    </w:p>
    <w:p w14:paraId="058F1979" w14:textId="77777777" w:rsidR="0050420A" w:rsidRPr="003B0AD4" w:rsidRDefault="0050420A" w:rsidP="0050420A">
      <w:pPr>
        <w:jc w:val="both"/>
        <w:rPr>
          <w:rFonts w:ascii="Times New Roman" w:hAnsi="Times New Roman" w:cs="Times New Roman"/>
        </w:rPr>
      </w:pPr>
    </w:p>
    <w:p w14:paraId="5DD0E9AF" w14:textId="4C83FDAD" w:rsidR="0050420A" w:rsidRDefault="00FF1504" w:rsidP="00504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pamiętać </w:t>
      </w:r>
      <w:r w:rsidR="0050420A" w:rsidRPr="003B0AD4">
        <w:rPr>
          <w:rFonts w:ascii="Times New Roman" w:hAnsi="Times New Roman" w:cs="Times New Roman"/>
        </w:rPr>
        <w:t>jednak, że występowanie objawów nie jest jednoznaczne, ponieważ mogą one łączyć się również z innymi schorzeniami</w:t>
      </w:r>
      <w:r w:rsidR="0045452B" w:rsidRPr="0045452B">
        <w:rPr>
          <w:rFonts w:ascii="Times New Roman" w:hAnsi="Times New Roman" w:cs="Times New Roman"/>
          <w:vertAlign w:val="superscript"/>
        </w:rPr>
        <w:t>13</w:t>
      </w:r>
      <w:r w:rsidR="0050420A" w:rsidRPr="003B0AD4">
        <w:rPr>
          <w:rFonts w:ascii="Times New Roman" w:hAnsi="Times New Roman" w:cs="Times New Roman"/>
        </w:rPr>
        <w:t>.</w:t>
      </w:r>
      <w:r w:rsidR="0050420A">
        <w:rPr>
          <w:rFonts w:ascii="Times New Roman" w:hAnsi="Times New Roman" w:cs="Times New Roman"/>
        </w:rPr>
        <w:t xml:space="preserve"> </w:t>
      </w:r>
    </w:p>
    <w:p w14:paraId="5464CD06" w14:textId="77777777" w:rsidR="006850CA" w:rsidRDefault="006850CA" w:rsidP="0050420A">
      <w:pPr>
        <w:jc w:val="both"/>
        <w:rPr>
          <w:rFonts w:ascii="Times New Roman" w:hAnsi="Times New Roman" w:cs="Times New Roman"/>
        </w:rPr>
      </w:pPr>
    </w:p>
    <w:p w14:paraId="7B3CFE04" w14:textId="77777777" w:rsidR="00137F87" w:rsidRDefault="00137F87" w:rsidP="00916D15">
      <w:pPr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4ACBA854" w14:textId="1446CD41" w:rsidR="00BC7F26" w:rsidRPr="00916D15" w:rsidRDefault="00BC7F26" w:rsidP="00916D15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916D15">
        <w:rPr>
          <w:rFonts w:ascii="Times New Roman" w:hAnsi="Times New Roman" w:cs="Times New Roman"/>
          <w:b/>
          <w:bCs/>
          <w:color w:val="002060"/>
        </w:rPr>
        <w:t>Niedobór żelaza – przyczyny</w:t>
      </w:r>
    </w:p>
    <w:p w14:paraId="020581CD" w14:textId="77777777" w:rsidR="00BC7F26" w:rsidRPr="003B0AD4" w:rsidRDefault="00BC7F26" w:rsidP="003E729E">
      <w:pPr>
        <w:jc w:val="both"/>
        <w:rPr>
          <w:rFonts w:ascii="Times New Roman" w:hAnsi="Times New Roman" w:cs="Times New Roman"/>
        </w:rPr>
      </w:pPr>
    </w:p>
    <w:p w14:paraId="28513C70" w14:textId="7D30E935" w:rsidR="00BC7F26" w:rsidRPr="003B0AD4" w:rsidRDefault="00BC7F26" w:rsidP="003E729E">
      <w:pPr>
        <w:jc w:val="both"/>
        <w:rPr>
          <w:rFonts w:ascii="Times New Roman" w:hAnsi="Times New Roman" w:cs="Times New Roman"/>
        </w:rPr>
      </w:pPr>
      <w:r w:rsidRPr="003B0AD4">
        <w:rPr>
          <w:rFonts w:ascii="Times New Roman" w:hAnsi="Times New Roman" w:cs="Times New Roman"/>
        </w:rPr>
        <w:t xml:space="preserve">Niemożliwe jest jednoznacznie wskazanie powodów niedoboru żelaza. Najczęstsze przyczyny tej dolegliwości to utrata krwi, zwiększone zapotrzebowanie (przy niedostatecznej podaży </w:t>
      </w:r>
      <w:r w:rsidR="00270F86">
        <w:rPr>
          <w:rFonts w:ascii="Times New Roman" w:hAnsi="Times New Roman" w:cs="Times New Roman"/>
        </w:rPr>
        <w:br/>
      </w:r>
      <w:r w:rsidRPr="003B0AD4">
        <w:rPr>
          <w:rFonts w:ascii="Times New Roman" w:hAnsi="Times New Roman" w:cs="Times New Roman"/>
        </w:rPr>
        <w:t>w diecie), ograniczone wchłanianie z przewod</w:t>
      </w:r>
      <w:r w:rsidR="004A7DC9">
        <w:rPr>
          <w:rFonts w:ascii="Times New Roman" w:hAnsi="Times New Roman" w:cs="Times New Roman"/>
        </w:rPr>
        <w:t>u</w:t>
      </w:r>
      <w:r w:rsidRPr="003B0AD4">
        <w:rPr>
          <w:rFonts w:ascii="Times New Roman" w:hAnsi="Times New Roman" w:cs="Times New Roman"/>
        </w:rPr>
        <w:t xml:space="preserve"> pokarmow</w:t>
      </w:r>
      <w:r w:rsidR="004A7DC9">
        <w:rPr>
          <w:rFonts w:ascii="Times New Roman" w:hAnsi="Times New Roman" w:cs="Times New Roman"/>
        </w:rPr>
        <w:t>ego</w:t>
      </w:r>
      <w:r w:rsidRPr="003B0AD4">
        <w:rPr>
          <w:rFonts w:ascii="Times New Roman" w:hAnsi="Times New Roman" w:cs="Times New Roman"/>
        </w:rPr>
        <w:t>, niedobór w diecie</w:t>
      </w:r>
      <w:r w:rsidR="00EA3EAA" w:rsidRPr="00EA3EAA">
        <w:rPr>
          <w:rFonts w:ascii="Times New Roman" w:hAnsi="Times New Roman" w:cs="Times New Roman"/>
          <w:vertAlign w:val="superscript"/>
        </w:rPr>
        <w:t>2</w:t>
      </w:r>
      <w:r w:rsidRPr="003B0AD4">
        <w:rPr>
          <w:rFonts w:ascii="Times New Roman" w:hAnsi="Times New Roman" w:cs="Times New Roman"/>
        </w:rPr>
        <w:t xml:space="preserve">. </w:t>
      </w:r>
      <w:r w:rsidR="00FF1504">
        <w:rPr>
          <w:rFonts w:ascii="Times New Roman" w:hAnsi="Times New Roman" w:cs="Times New Roman"/>
        </w:rPr>
        <w:br/>
      </w:r>
    </w:p>
    <w:p w14:paraId="536CE18B" w14:textId="77777777" w:rsidR="00A944DB" w:rsidRPr="003B0AD4" w:rsidRDefault="00A944DB" w:rsidP="003E729E">
      <w:pPr>
        <w:jc w:val="both"/>
        <w:rPr>
          <w:rFonts w:ascii="Times New Roman" w:hAnsi="Times New Roman" w:cs="Times New Roman"/>
        </w:rPr>
      </w:pPr>
    </w:p>
    <w:p w14:paraId="649D8277" w14:textId="5B5AF6FB" w:rsidR="00BC7F26" w:rsidRPr="00951F1D" w:rsidRDefault="00BC7F26" w:rsidP="00951F1D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0"/>
          <w:lang w:eastAsia="pl-PL"/>
          <w14:ligatures w14:val="none"/>
        </w:rPr>
      </w:pPr>
      <w:r w:rsidRPr="00951F1D">
        <w:rPr>
          <w:rFonts w:ascii="Times New Roman" w:eastAsia="Times New Roman" w:hAnsi="Times New Roman" w:cs="Times New Roman"/>
          <w:b/>
          <w:bCs/>
          <w:color w:val="002060"/>
          <w:kern w:val="0"/>
          <w:lang w:eastAsia="pl-PL"/>
          <w14:ligatures w14:val="none"/>
        </w:rPr>
        <w:t>Niedobór żelaza – diagnostyka</w:t>
      </w:r>
    </w:p>
    <w:p w14:paraId="16A2724B" w14:textId="77777777" w:rsidR="00BC7F26" w:rsidRPr="00BC7F26" w:rsidRDefault="00BC7F26" w:rsidP="003E729E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300AA7" w14:textId="61655D41" w:rsidR="008D5FF7" w:rsidRPr="003B0AD4" w:rsidRDefault="00BC7F26" w:rsidP="00B92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B0AD4">
        <w:rPr>
          <w:rFonts w:ascii="Times New Roman" w:hAnsi="Times New Roman" w:cs="Times New Roman"/>
          <w:kern w:val="0"/>
        </w:rPr>
        <w:t xml:space="preserve">Jeśli podejrzewamy u siebie niedobór żelaza, </w:t>
      </w:r>
      <w:r w:rsidR="008D5FF7" w:rsidRPr="003B0AD4">
        <w:rPr>
          <w:rFonts w:ascii="Times New Roman" w:hAnsi="Times New Roman" w:cs="Times New Roman"/>
          <w:kern w:val="0"/>
        </w:rPr>
        <w:t xml:space="preserve">powinniśmy wziąć żelazo </w:t>
      </w:r>
      <w:r w:rsidR="004A7DC9">
        <w:rPr>
          <w:rFonts w:ascii="Times New Roman" w:hAnsi="Times New Roman" w:cs="Times New Roman"/>
          <w:kern w:val="0"/>
        </w:rPr>
        <w:t>„</w:t>
      </w:r>
      <w:r w:rsidR="008D5FF7" w:rsidRPr="003B0AD4">
        <w:rPr>
          <w:rFonts w:ascii="Times New Roman" w:hAnsi="Times New Roman" w:cs="Times New Roman"/>
          <w:kern w:val="0"/>
        </w:rPr>
        <w:t>na poważnie</w:t>
      </w:r>
      <w:r w:rsidR="004A7DC9">
        <w:rPr>
          <w:rFonts w:ascii="Times New Roman" w:hAnsi="Times New Roman" w:cs="Times New Roman"/>
          <w:kern w:val="0"/>
        </w:rPr>
        <w:t>”</w:t>
      </w:r>
      <w:r w:rsidR="008D5FF7" w:rsidRPr="003B0AD4">
        <w:rPr>
          <w:rFonts w:ascii="Times New Roman" w:hAnsi="Times New Roman" w:cs="Times New Roman"/>
          <w:kern w:val="0"/>
        </w:rPr>
        <w:t xml:space="preserve"> </w:t>
      </w:r>
      <w:r w:rsidR="008D5FF7" w:rsidRPr="003B0AD4">
        <w:rPr>
          <w:rFonts w:ascii="Times New Roman" w:hAnsi="Times New Roman" w:cs="Times New Roman"/>
          <w:kern w:val="0"/>
        </w:rPr>
        <w:br/>
        <w:t xml:space="preserve">i rozpocząć </w:t>
      </w:r>
      <w:r w:rsidR="00496A44">
        <w:rPr>
          <w:rFonts w:ascii="Times New Roman" w:hAnsi="Times New Roman" w:cs="Times New Roman"/>
          <w:kern w:val="0"/>
        </w:rPr>
        <w:t xml:space="preserve">diagnozowanie od </w:t>
      </w:r>
      <w:r w:rsidRPr="003B0AD4">
        <w:rPr>
          <w:rFonts w:ascii="Times New Roman" w:hAnsi="Times New Roman" w:cs="Times New Roman"/>
          <w:kern w:val="0"/>
        </w:rPr>
        <w:t>badania morfologii krwi</w:t>
      </w:r>
      <w:r w:rsidR="00712ABF">
        <w:rPr>
          <w:rFonts w:ascii="Times New Roman" w:hAnsi="Times New Roman" w:cs="Times New Roman"/>
          <w:kern w:val="0"/>
        </w:rPr>
        <w:t>. W</w:t>
      </w:r>
      <w:r w:rsidR="008D5FF7" w:rsidRPr="003B0AD4">
        <w:rPr>
          <w:rFonts w:ascii="Times New Roman" w:hAnsi="Times New Roman" w:cs="Times New Roman"/>
          <w:kern w:val="0"/>
        </w:rPr>
        <w:t xml:space="preserve"> przypadku </w:t>
      </w:r>
      <w:r w:rsidR="006A4FBB">
        <w:rPr>
          <w:rFonts w:ascii="Times New Roman" w:hAnsi="Times New Roman" w:cs="Times New Roman"/>
          <w:kern w:val="0"/>
        </w:rPr>
        <w:t>niedoboru żelaza</w:t>
      </w:r>
      <w:r w:rsidR="008D5FF7" w:rsidRPr="003B0AD4">
        <w:rPr>
          <w:rFonts w:ascii="Times New Roman" w:hAnsi="Times New Roman" w:cs="Times New Roman"/>
          <w:kern w:val="0"/>
        </w:rPr>
        <w:t xml:space="preserve"> badanie wykaże nam zmniejszone stężenie hemoglobiny (skrót Hb lub Hgb)</w:t>
      </w:r>
      <w:r w:rsidR="006A4FBB" w:rsidRPr="006A4FBB">
        <w:rPr>
          <w:rFonts w:ascii="Times New Roman" w:hAnsi="Times New Roman" w:cs="Times New Roman"/>
          <w:kern w:val="0"/>
          <w:vertAlign w:val="superscript"/>
        </w:rPr>
        <w:t>14</w:t>
      </w:r>
      <w:r w:rsidR="006A4FBB">
        <w:rPr>
          <w:rFonts w:ascii="Times New Roman" w:hAnsi="Times New Roman" w:cs="Times New Roman"/>
          <w:kern w:val="0"/>
        </w:rPr>
        <w:t>.</w:t>
      </w:r>
      <w:r w:rsidR="008D5FF7" w:rsidRPr="003B0AD4">
        <w:rPr>
          <w:rFonts w:ascii="Times New Roman" w:hAnsi="Times New Roman" w:cs="Times New Roman"/>
          <w:kern w:val="0"/>
        </w:rPr>
        <w:t xml:space="preserve"> </w:t>
      </w:r>
    </w:p>
    <w:p w14:paraId="4483B790" w14:textId="61EAE6C0" w:rsidR="008D5FF7" w:rsidRPr="003B0AD4" w:rsidRDefault="008D5FF7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1DDC45B1" w14:textId="1C9139FC" w:rsidR="00BC7F26" w:rsidRPr="003B0AD4" w:rsidRDefault="00BC7F26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B0AD4">
        <w:rPr>
          <w:rFonts w:ascii="Times New Roman" w:hAnsi="Times New Roman" w:cs="Times New Roman"/>
          <w:kern w:val="0"/>
        </w:rPr>
        <w:t>Jednak, w celu wykrycia niedoboru żelaza, konieczne jest przeprowadzenie dalszych badań diagnostycznych</w:t>
      </w:r>
      <w:r w:rsidR="00B920C2" w:rsidRPr="00B920C2">
        <w:rPr>
          <w:rFonts w:ascii="Times New Roman" w:hAnsi="Times New Roman" w:cs="Times New Roman"/>
          <w:kern w:val="0"/>
          <w:vertAlign w:val="superscript"/>
        </w:rPr>
        <w:t>15</w:t>
      </w:r>
      <w:r w:rsidRPr="003B0AD4">
        <w:rPr>
          <w:rFonts w:ascii="Times New Roman" w:hAnsi="Times New Roman" w:cs="Times New Roman"/>
          <w:kern w:val="0"/>
        </w:rPr>
        <w:t>.</w:t>
      </w:r>
      <w:r w:rsidR="008D5FF7" w:rsidRPr="003B0AD4">
        <w:rPr>
          <w:rFonts w:ascii="Times New Roman" w:hAnsi="Times New Roman" w:cs="Times New Roman"/>
          <w:kern w:val="0"/>
        </w:rPr>
        <w:t xml:space="preserve"> Kolejnym krokiem jest sprawdzenie </w:t>
      </w:r>
      <w:r w:rsidR="00B920C2">
        <w:rPr>
          <w:rFonts w:ascii="Times New Roman" w:hAnsi="Times New Roman" w:cs="Times New Roman"/>
          <w:kern w:val="0"/>
        </w:rPr>
        <w:t xml:space="preserve">poziomu ferrytyny we krwi, która uznawana jest za </w:t>
      </w:r>
      <w:r w:rsidRPr="003B0AD4">
        <w:rPr>
          <w:rFonts w:ascii="Times New Roman" w:hAnsi="Times New Roman" w:cs="Times New Roman"/>
          <w:kern w:val="0"/>
        </w:rPr>
        <w:t>jeden</w:t>
      </w:r>
      <w:r w:rsidR="00B920C2">
        <w:rPr>
          <w:rFonts w:ascii="Times New Roman" w:hAnsi="Times New Roman" w:cs="Times New Roman"/>
          <w:kern w:val="0"/>
        </w:rPr>
        <w:t xml:space="preserve"> </w:t>
      </w:r>
      <w:r w:rsidRPr="003B0AD4">
        <w:rPr>
          <w:rFonts w:ascii="Times New Roman" w:hAnsi="Times New Roman" w:cs="Times New Roman"/>
          <w:kern w:val="0"/>
        </w:rPr>
        <w:t>z najdokładniejszych parametrów w diagnozowaniu niedoboru żelaza</w:t>
      </w:r>
      <w:r w:rsidR="00B920C2" w:rsidRPr="00B920C2">
        <w:rPr>
          <w:rFonts w:ascii="Times New Roman" w:hAnsi="Times New Roman" w:cs="Times New Roman"/>
          <w:kern w:val="0"/>
          <w:vertAlign w:val="superscript"/>
        </w:rPr>
        <w:t>15</w:t>
      </w:r>
      <w:r w:rsidRPr="003B0AD4">
        <w:rPr>
          <w:rFonts w:ascii="Times New Roman" w:hAnsi="Times New Roman" w:cs="Times New Roman"/>
          <w:kern w:val="0"/>
        </w:rPr>
        <w:t xml:space="preserve"> i badanie jej poziomu zalecane jest przez Światową Organizację </w:t>
      </w:r>
      <w:r w:rsidR="008D5FF7" w:rsidRPr="003B0AD4">
        <w:rPr>
          <w:rFonts w:ascii="Times New Roman" w:hAnsi="Times New Roman" w:cs="Times New Roman"/>
          <w:kern w:val="0"/>
        </w:rPr>
        <w:t>Zdrowia,</w:t>
      </w:r>
      <w:r w:rsidR="00B920C2" w:rsidRPr="00B920C2">
        <w:rPr>
          <w:rFonts w:ascii="Times New Roman" w:hAnsi="Times New Roman" w:cs="Times New Roman"/>
          <w:kern w:val="0"/>
          <w:vertAlign w:val="superscript"/>
        </w:rPr>
        <w:t>16</w:t>
      </w:r>
      <w:r w:rsidR="008D5FF7" w:rsidRPr="003B0AD4">
        <w:rPr>
          <w:rFonts w:ascii="Times New Roman" w:hAnsi="Times New Roman" w:cs="Times New Roman"/>
          <w:kern w:val="0"/>
        </w:rPr>
        <w:t xml:space="preserve"> ponieważ odzwierciedla poziom </w:t>
      </w:r>
      <w:r w:rsidR="004A7DC9" w:rsidRPr="004A7DC9">
        <w:rPr>
          <w:rFonts w:ascii="Times New Roman" w:hAnsi="Times New Roman" w:cs="Times New Roman"/>
          <w:kern w:val="0"/>
        </w:rPr>
        <w:t>zmagazynowanego</w:t>
      </w:r>
      <w:r w:rsidR="008D5FF7" w:rsidRPr="003B0AD4">
        <w:rPr>
          <w:rFonts w:ascii="Times New Roman" w:hAnsi="Times New Roman" w:cs="Times New Roman"/>
          <w:kern w:val="0"/>
        </w:rPr>
        <w:t xml:space="preserve"> żelaza</w:t>
      </w:r>
      <w:r w:rsidRPr="003B0AD4">
        <w:rPr>
          <w:rFonts w:ascii="Times New Roman" w:hAnsi="Times New Roman" w:cs="Times New Roman"/>
          <w:kern w:val="0"/>
        </w:rPr>
        <w:t xml:space="preserve">. Ale poziom ferrytyny w surowicy, może się </w:t>
      </w:r>
      <w:r w:rsidRPr="003B0AD4">
        <w:rPr>
          <w:rFonts w:ascii="Times New Roman" w:hAnsi="Times New Roman" w:cs="Times New Roman"/>
          <w:kern w:val="0"/>
        </w:rPr>
        <w:lastRenderedPageBreak/>
        <w:t>zmienić pod wpływem takich chorób jak grypa, a tym samym, w celu postawienia prawidłowej diagnozy może być konieczne sprawdzenie dodatkowych parametrów</w:t>
      </w:r>
      <w:r w:rsidR="00B920C2" w:rsidRPr="00B920C2">
        <w:rPr>
          <w:rFonts w:ascii="Times New Roman" w:hAnsi="Times New Roman" w:cs="Times New Roman"/>
          <w:kern w:val="0"/>
          <w:vertAlign w:val="superscript"/>
        </w:rPr>
        <w:t>16</w:t>
      </w:r>
      <w:r w:rsidRPr="003B0AD4">
        <w:rPr>
          <w:rFonts w:ascii="Times New Roman" w:hAnsi="Times New Roman" w:cs="Times New Roman"/>
          <w:kern w:val="0"/>
        </w:rPr>
        <w:t>.</w:t>
      </w:r>
      <w:r w:rsidR="008D5FF7" w:rsidRPr="003B0AD4">
        <w:rPr>
          <w:rFonts w:ascii="Times New Roman" w:hAnsi="Times New Roman" w:cs="Times New Roman"/>
          <w:kern w:val="0"/>
        </w:rPr>
        <w:t xml:space="preserve"> </w:t>
      </w:r>
      <w:r w:rsidRPr="003B0AD4">
        <w:rPr>
          <w:rFonts w:ascii="Times New Roman" w:hAnsi="Times New Roman" w:cs="Times New Roman"/>
          <w:kern w:val="0"/>
        </w:rPr>
        <w:t>Należą do nich: TSAT lub wysycenie transferyny w surowicy</w:t>
      </w:r>
      <w:r w:rsidR="00A57CAE" w:rsidRPr="00A57CAE">
        <w:rPr>
          <w:rFonts w:ascii="Times New Roman" w:hAnsi="Times New Roman" w:cs="Times New Roman"/>
          <w:kern w:val="0"/>
          <w:vertAlign w:val="superscript"/>
        </w:rPr>
        <w:t>16</w:t>
      </w:r>
      <w:r w:rsidRPr="003B0AD4">
        <w:rPr>
          <w:rFonts w:ascii="Times New Roman" w:hAnsi="Times New Roman" w:cs="Times New Roman"/>
          <w:kern w:val="0"/>
        </w:rPr>
        <w:t>, całkowita ilość żelaza w surowicy krwi</w:t>
      </w:r>
      <w:r w:rsidR="00B920C2" w:rsidRPr="00B920C2">
        <w:rPr>
          <w:rFonts w:ascii="Times New Roman" w:hAnsi="Times New Roman" w:cs="Times New Roman"/>
          <w:kern w:val="0"/>
          <w:vertAlign w:val="superscript"/>
        </w:rPr>
        <w:t>17</w:t>
      </w:r>
      <w:r w:rsidRPr="003B0AD4">
        <w:rPr>
          <w:rFonts w:ascii="Times New Roman" w:hAnsi="Times New Roman" w:cs="Times New Roman"/>
          <w:kern w:val="0"/>
        </w:rPr>
        <w:t>, TIBC - czyli całkowita zdolność wiązania żelaza</w:t>
      </w:r>
      <w:r w:rsidR="00A57CAE" w:rsidRPr="00A57CAE">
        <w:rPr>
          <w:rFonts w:ascii="Times New Roman" w:hAnsi="Times New Roman" w:cs="Times New Roman"/>
          <w:kern w:val="0"/>
          <w:vertAlign w:val="superscript"/>
        </w:rPr>
        <w:t>18</w:t>
      </w:r>
      <w:r w:rsidRPr="003B0AD4">
        <w:rPr>
          <w:rFonts w:ascii="Times New Roman" w:hAnsi="Times New Roman" w:cs="Times New Roman"/>
          <w:kern w:val="0"/>
        </w:rPr>
        <w:t>.</w:t>
      </w:r>
    </w:p>
    <w:p w14:paraId="4F7D501D" w14:textId="77777777" w:rsidR="008D5FF7" w:rsidRDefault="008D5FF7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6E4D127E" w14:textId="77777777" w:rsidR="00137F87" w:rsidRPr="003B0AD4" w:rsidRDefault="00137F87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606EF362" w14:textId="5071BD77" w:rsidR="008D5FF7" w:rsidRPr="00951F1D" w:rsidRDefault="008D5FF7" w:rsidP="00951F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kern w:val="0"/>
        </w:rPr>
      </w:pPr>
      <w:r w:rsidRPr="00951F1D">
        <w:rPr>
          <w:rFonts w:ascii="Times New Roman" w:hAnsi="Times New Roman" w:cs="Times New Roman"/>
          <w:b/>
          <w:bCs/>
          <w:color w:val="002060"/>
          <w:kern w:val="0"/>
        </w:rPr>
        <w:t>Niedobór żelaza – leczenie</w:t>
      </w:r>
    </w:p>
    <w:p w14:paraId="1E51F818" w14:textId="77777777" w:rsidR="008D5FF7" w:rsidRPr="003B0AD4" w:rsidRDefault="008D5FF7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71D0C6A6" w14:textId="65CC5C26" w:rsidR="003E729E" w:rsidRDefault="00951F1D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Istnieje wiele sposobów leczenia niedoboru żelaza. Zależą one od poziomu niedoboru i historii chorób pacjenta. Sposoby te obejmują</w:t>
      </w:r>
      <w:r w:rsidR="00712ABF">
        <w:rPr>
          <w:rFonts w:ascii="Times New Roman" w:hAnsi="Times New Roman" w:cs="Times New Roman"/>
          <w:kern w:val="0"/>
        </w:rPr>
        <w:t xml:space="preserve"> zwiększenie ilości żelaza w diecie, doustn</w:t>
      </w:r>
      <w:r w:rsidR="00CB6821">
        <w:rPr>
          <w:rFonts w:ascii="Times New Roman" w:hAnsi="Times New Roman" w:cs="Times New Roman"/>
          <w:kern w:val="0"/>
        </w:rPr>
        <w:t>ą</w:t>
      </w:r>
      <w:r w:rsidR="00712ABF">
        <w:rPr>
          <w:rFonts w:ascii="Times New Roman" w:hAnsi="Times New Roman" w:cs="Times New Roman"/>
          <w:kern w:val="0"/>
        </w:rPr>
        <w:t xml:space="preserve"> suplementacj</w:t>
      </w:r>
      <w:r w:rsidR="00CB6821">
        <w:rPr>
          <w:rFonts w:ascii="Times New Roman" w:hAnsi="Times New Roman" w:cs="Times New Roman"/>
          <w:kern w:val="0"/>
        </w:rPr>
        <w:t>ę</w:t>
      </w:r>
      <w:r w:rsidR="00712ABF">
        <w:rPr>
          <w:rFonts w:ascii="Times New Roman" w:hAnsi="Times New Roman" w:cs="Times New Roman"/>
          <w:kern w:val="0"/>
        </w:rPr>
        <w:t xml:space="preserve"> żelazem czy przyjmowanie żelaza w formie dożylnej (poprzez infuzję lub zastrzyk)</w:t>
      </w:r>
      <w:r w:rsidR="00A57CAE" w:rsidRPr="00A57CAE">
        <w:rPr>
          <w:rFonts w:ascii="Times New Roman" w:hAnsi="Times New Roman" w:cs="Times New Roman"/>
          <w:kern w:val="0"/>
          <w:vertAlign w:val="superscript"/>
        </w:rPr>
        <w:t>3</w:t>
      </w:r>
      <w:r w:rsidR="00712ABF">
        <w:rPr>
          <w:rFonts w:ascii="Times New Roman" w:hAnsi="Times New Roman" w:cs="Times New Roman"/>
          <w:kern w:val="0"/>
        </w:rPr>
        <w:t xml:space="preserve">. </w:t>
      </w:r>
    </w:p>
    <w:p w14:paraId="1992AEB4" w14:textId="77777777" w:rsidR="00712ABF" w:rsidRDefault="00712ABF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37315306" w14:textId="15242907" w:rsidR="008D5FF7" w:rsidRDefault="00712ABF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Dieta osoby </w:t>
      </w:r>
      <w:r w:rsidR="003E729E" w:rsidRPr="003B0AD4">
        <w:rPr>
          <w:rFonts w:ascii="Times New Roman" w:hAnsi="Times New Roman" w:cs="Times New Roman"/>
          <w:kern w:val="0"/>
        </w:rPr>
        <w:t>z niedoborem żelaza powinna opierać się na warzywach zielonych (pietruszce, szczypiorku), czerwonym mięsie oraz podrobach, produktach pełnoziarnistych, kaszy gruboziarnistej oraz burakach. Produkty bogate w witaminę C (owoce, warzywa) mają pozytywny wpływ na wchłanianie żelaza. Z kolei osłabiają je związki zawarte w kawie i herbacie, a także duża ilość błonnika oraz produkty mleczne.</w:t>
      </w:r>
      <w:r w:rsidR="008D5FF7" w:rsidRPr="003B0AD4">
        <w:rPr>
          <w:rFonts w:ascii="Times New Roman" w:hAnsi="Times New Roman" w:cs="Times New Roman"/>
          <w:kern w:val="0"/>
        </w:rPr>
        <w:t xml:space="preserve"> </w:t>
      </w:r>
    </w:p>
    <w:p w14:paraId="27469BCE" w14:textId="77777777" w:rsidR="00FF1504" w:rsidRDefault="00FF1504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5E55EAD6" w14:textId="272B7558" w:rsidR="001D59CA" w:rsidRDefault="00FF1504" w:rsidP="00137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Nie zawsze jednak sama zmiana nawyków żywieniowych może skutecznie pomóc </w:t>
      </w:r>
      <w:r>
        <w:rPr>
          <w:rFonts w:ascii="Times New Roman" w:hAnsi="Times New Roman" w:cs="Times New Roman"/>
          <w:kern w:val="0"/>
        </w:rPr>
        <w:br/>
        <w:t>w uzupełnieniu i</w:t>
      </w:r>
      <w:r w:rsidR="0074453D">
        <w:rPr>
          <w:rFonts w:ascii="Times New Roman" w:hAnsi="Times New Roman" w:cs="Times New Roman"/>
          <w:kern w:val="0"/>
        </w:rPr>
        <w:t>/lub</w:t>
      </w:r>
      <w:r>
        <w:rPr>
          <w:rFonts w:ascii="Times New Roman" w:hAnsi="Times New Roman" w:cs="Times New Roman"/>
          <w:kern w:val="0"/>
        </w:rPr>
        <w:t xml:space="preserve"> ustabilizowaniu poziomu żelaza w organizmie. </w:t>
      </w:r>
      <w:r w:rsidR="00F55C2C">
        <w:rPr>
          <w:rFonts w:ascii="Times New Roman" w:hAnsi="Times New Roman" w:cs="Times New Roman"/>
          <w:kern w:val="0"/>
        </w:rPr>
        <w:t xml:space="preserve">Poza zmianą diety, gdy jest to możliwe i gdy sama dieta nie przynosi rezultatów stosuje się doustną suplementację lub </w:t>
      </w:r>
      <w:r w:rsidR="001D59CA">
        <w:rPr>
          <w:rFonts w:ascii="Times New Roman" w:hAnsi="Times New Roman" w:cs="Times New Roman"/>
          <w:kern w:val="0"/>
        </w:rPr>
        <w:t xml:space="preserve">preparaty dożylne. Szczególnym wskazaniem do zastosowania dożylnej formy podania żelaza jest: nietolerancja żołądkowo-jelitowa żelaza podawanego doustnie, </w:t>
      </w:r>
      <w:r w:rsidR="001D59CA" w:rsidRPr="00137F87">
        <w:rPr>
          <w:rFonts w:ascii="Times New Roman" w:hAnsi="Times New Roman" w:cs="Times New Roman"/>
          <w:kern w:val="0"/>
        </w:rPr>
        <w:t>ciężka czy utrzymująca się i trudna do opanowania utrata krwi, operacje żołądka (bypass, resekcja), które zmniejszają wydzielanie kwasu żołądkowego i upośledzają wchłanianie żelaza z jelit; zespoły złego wchłaniania (celiakia, choroba Whipple'a, przerost bakterii); brak skuteczności doustnej podaży żelaza u pacjentów ze współistniejącym stanem zapalnym, który w mechanizmie podwyższenia hepcydyny może utrudniać jego wchłanianie; chęć ograniczenia długości trwania terapii - stosowanie dożylnego żelaza pozwala na podanie prawie pełnej dawki zastępczej w jednym lub dwóch wlewach. Najwięcej doświadczeń potwierdzających skuteczność żelaza podawanego dożylnie zaobserwowano podczas leczenia osób z nieswoistym zapaleniem jelit, po operacjach żołądka lub z przewlekłą chorobą nerek</w:t>
      </w:r>
      <w:r w:rsidR="006D7BB6" w:rsidRPr="00137F87">
        <w:rPr>
          <w:rFonts w:ascii="Times New Roman" w:hAnsi="Times New Roman" w:cs="Times New Roman"/>
          <w:kern w:val="0"/>
          <w:vertAlign w:val="superscript"/>
        </w:rPr>
        <w:t>19</w:t>
      </w:r>
      <w:r w:rsidR="001D59CA" w:rsidRPr="00137F87">
        <w:rPr>
          <w:rFonts w:ascii="Times New Roman" w:hAnsi="Times New Roman" w:cs="Times New Roman"/>
          <w:kern w:val="0"/>
        </w:rPr>
        <w:t>.</w:t>
      </w:r>
    </w:p>
    <w:p w14:paraId="1CDDEB78" w14:textId="77777777" w:rsidR="00137F87" w:rsidRDefault="00137F87" w:rsidP="00137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5989B319" w14:textId="77777777" w:rsidR="00137F87" w:rsidRPr="00137F87" w:rsidRDefault="00137F87" w:rsidP="00137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0C25F4D1" w14:textId="0C78AAC3" w:rsidR="00712ABF" w:rsidRDefault="00712ABF" w:rsidP="00712AB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  <w:r>
        <w:rPr>
          <w:b/>
          <w:color w:val="002060"/>
        </w:rPr>
        <w:t>Konsekwencje</w:t>
      </w:r>
      <w:r w:rsidRPr="004D0D7F">
        <w:rPr>
          <w:b/>
          <w:color w:val="002060"/>
        </w:rPr>
        <w:t xml:space="preserve"> niedoboru żelaza</w:t>
      </w:r>
    </w:p>
    <w:p w14:paraId="272D9D6A" w14:textId="77777777" w:rsidR="00712ABF" w:rsidRDefault="00712ABF" w:rsidP="00712AB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</w:p>
    <w:p w14:paraId="2A9CE22C" w14:textId="5EF51A3D" w:rsidR="00712ABF" w:rsidRDefault="00712ABF" w:rsidP="00712AB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Jedną z konsekwencji nieleczonego lub nieskutecznie leczonego niedoboru żelaza jest niedokrwistość z niedoboru żelaza. Niedokrwistość z niedoboru żelaza </w:t>
      </w:r>
      <w:r w:rsidR="00D55F80">
        <w:t xml:space="preserve">– zwana powszechnie anemią - </w:t>
      </w:r>
      <w:r>
        <w:t>występuje, gdy poziom żelaza magazynowanego w organizmie jest tak niski, że organizm nie jest już w stanie wytworzyć wystarczającej ilości hemoglobiny do zbudowania zdrowych czerwonych krwinek</w:t>
      </w:r>
      <w:r w:rsidR="006D7BB6" w:rsidRPr="006D7BB6">
        <w:rPr>
          <w:vertAlign w:val="superscript"/>
        </w:rPr>
        <w:t>7</w:t>
      </w:r>
      <w:r>
        <w:t>. Hemoglobina to zaś białko znajdujące się wewnątrz czerwonych krwinek, które przenosi tlen do tkanek i narządów w całym organizmie. Proces ten jest niezbędny do ich prawidłowego funkcjonowania</w:t>
      </w:r>
      <w:r w:rsidR="006D7BB6" w:rsidRPr="006D7BB6">
        <w:rPr>
          <w:vertAlign w:val="superscript"/>
        </w:rPr>
        <w:t>20</w:t>
      </w:r>
      <w:r>
        <w:t xml:space="preserve">. </w:t>
      </w:r>
    </w:p>
    <w:p w14:paraId="4C58B622" w14:textId="77777777" w:rsidR="006850CA" w:rsidRDefault="006850CA" w:rsidP="00712AB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4593CD61" w14:textId="462DFF8F" w:rsidR="006850CA" w:rsidRPr="006850CA" w:rsidRDefault="006850CA" w:rsidP="00712A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850CA">
        <w:t xml:space="preserve">Do innych konsekwencji nieleczonego czy przewlekłego niedoboru żelaza zalicza się </w:t>
      </w:r>
      <w:r w:rsidRPr="006850CA">
        <w:rPr>
          <w:color w:val="000000"/>
        </w:rPr>
        <w:t>ogólne pogorszenie stanu zdrowia i samopoczucia, jak też wzmożone uczucie przemęczenia</w:t>
      </w:r>
      <w:r w:rsidR="00137F87" w:rsidRPr="00137F87">
        <w:rPr>
          <w:color w:val="000000"/>
          <w:vertAlign w:val="superscript"/>
        </w:rPr>
        <w:t>2</w:t>
      </w:r>
      <w:r w:rsidRPr="006850CA">
        <w:rPr>
          <w:color w:val="000000"/>
        </w:rPr>
        <w:t xml:space="preserve">. Niedobór żelaza nawet bez występowania niedokrwistości może być wycieńczający i może zaostrzać objawy pierwotnie występującej choroby przewlekłej, zwiększając ryzyko powikłań, </w:t>
      </w:r>
      <w:r w:rsidRPr="006850CA">
        <w:rPr>
          <w:color w:val="000000"/>
        </w:rPr>
        <w:lastRenderedPageBreak/>
        <w:t>a nawet śmierci</w:t>
      </w:r>
      <w:r w:rsidR="00137F87" w:rsidRPr="00137F87">
        <w:rPr>
          <w:color w:val="000000"/>
          <w:vertAlign w:val="superscript"/>
        </w:rPr>
        <w:t>2</w:t>
      </w:r>
      <w:r w:rsidR="00137F87">
        <w:rPr>
          <w:color w:val="000000"/>
        </w:rPr>
        <w:t>.</w:t>
      </w:r>
      <w:r w:rsidRPr="006850CA">
        <w:rPr>
          <w:color w:val="000000"/>
        </w:rPr>
        <w:t xml:space="preserve"> Wśród dzieci niedobór żelaza może zaburzać rozwój poznawczy </w:t>
      </w:r>
      <w:r w:rsidR="0074453D">
        <w:rPr>
          <w:color w:val="000000"/>
        </w:rPr>
        <w:br/>
      </w:r>
      <w:r w:rsidRPr="006850CA">
        <w:rPr>
          <w:color w:val="000000"/>
        </w:rPr>
        <w:t>i motoryczny</w:t>
      </w:r>
      <w:r w:rsidR="00137F87" w:rsidRPr="00137F87">
        <w:rPr>
          <w:color w:val="000000"/>
          <w:vertAlign w:val="superscript"/>
        </w:rPr>
        <w:t>2</w:t>
      </w:r>
      <w:r w:rsidR="00137F87">
        <w:rPr>
          <w:color w:val="000000"/>
        </w:rPr>
        <w:t>.</w:t>
      </w:r>
    </w:p>
    <w:p w14:paraId="5F9D71BF" w14:textId="77777777" w:rsidR="00712ABF" w:rsidRDefault="00712ABF" w:rsidP="00712AB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CB99D20" w14:textId="5B3E3156" w:rsidR="00712ABF" w:rsidRDefault="00D55F80" w:rsidP="00137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0"/>
        </w:rPr>
      </w:pPr>
      <w:r>
        <w:rPr>
          <w:rFonts w:ascii="Times New Roman" w:hAnsi="Times New Roman" w:cs="Times New Roman"/>
          <w:b/>
          <w:bCs/>
          <w:color w:val="002060"/>
          <w:kern w:val="0"/>
        </w:rPr>
        <w:t xml:space="preserve">„Pomimo poważnych konsekwencji i powszechnego występowania niedoborów żelaza ta przypadłość jest wciąż niewystarczająco rozpoznawana. Wiele osób nie ma świadomości rozwijającego się </w:t>
      </w:r>
      <w:r w:rsidR="00137F87">
        <w:rPr>
          <w:rFonts w:ascii="Times New Roman" w:hAnsi="Times New Roman" w:cs="Times New Roman"/>
          <w:b/>
          <w:bCs/>
          <w:color w:val="002060"/>
          <w:kern w:val="0"/>
        </w:rPr>
        <w:t>u</w:t>
      </w:r>
      <w:r>
        <w:rPr>
          <w:rFonts w:ascii="Times New Roman" w:hAnsi="Times New Roman" w:cs="Times New Roman"/>
          <w:b/>
          <w:bCs/>
          <w:color w:val="002060"/>
          <w:kern w:val="0"/>
        </w:rPr>
        <w:t xml:space="preserve"> nich problemu zdrowotnego</w:t>
      </w:r>
      <w:r w:rsidR="00751171">
        <w:rPr>
          <w:rFonts w:ascii="Times New Roman" w:hAnsi="Times New Roman" w:cs="Times New Roman"/>
          <w:b/>
          <w:bCs/>
          <w:color w:val="002060"/>
          <w:kern w:val="0"/>
        </w:rPr>
        <w:t xml:space="preserve"> albo nie potrafią właściwie rozpoznać objawów. Właśnie dlatego pragniemy zwiększyć świadomość ludzi n</w:t>
      </w:r>
      <w:r w:rsidR="00137F87">
        <w:rPr>
          <w:rFonts w:ascii="Times New Roman" w:hAnsi="Times New Roman" w:cs="Times New Roman"/>
          <w:b/>
          <w:bCs/>
          <w:color w:val="002060"/>
          <w:kern w:val="0"/>
        </w:rPr>
        <w:t xml:space="preserve">a </w:t>
      </w:r>
      <w:r w:rsidR="00751171">
        <w:rPr>
          <w:rFonts w:ascii="Times New Roman" w:hAnsi="Times New Roman" w:cs="Times New Roman"/>
          <w:b/>
          <w:bCs/>
          <w:color w:val="002060"/>
          <w:kern w:val="0"/>
        </w:rPr>
        <w:t>t</w:t>
      </w:r>
      <w:r w:rsidR="00137F87">
        <w:rPr>
          <w:rFonts w:ascii="Times New Roman" w:hAnsi="Times New Roman" w:cs="Times New Roman"/>
          <w:b/>
          <w:bCs/>
          <w:color w:val="002060"/>
          <w:kern w:val="0"/>
        </w:rPr>
        <w:t>emat</w:t>
      </w:r>
      <w:r w:rsidR="00751171">
        <w:rPr>
          <w:rFonts w:ascii="Times New Roman" w:hAnsi="Times New Roman" w:cs="Times New Roman"/>
          <w:b/>
          <w:bCs/>
          <w:color w:val="002060"/>
          <w:kern w:val="0"/>
        </w:rPr>
        <w:t xml:space="preserve"> roli żelaza, a także objawów i konsekwencji niedoboru żelaza w organizmie. Prowadząc kolejny już </w:t>
      </w:r>
      <w:r w:rsidR="00137F87">
        <w:rPr>
          <w:rFonts w:ascii="Times New Roman" w:hAnsi="Times New Roman" w:cs="Times New Roman"/>
          <w:b/>
          <w:bCs/>
          <w:color w:val="002060"/>
          <w:kern w:val="0"/>
        </w:rPr>
        <w:t>r</w:t>
      </w:r>
      <w:r w:rsidR="00751171">
        <w:rPr>
          <w:rFonts w:ascii="Times New Roman" w:hAnsi="Times New Roman" w:cs="Times New Roman"/>
          <w:b/>
          <w:bCs/>
          <w:color w:val="002060"/>
          <w:kern w:val="0"/>
        </w:rPr>
        <w:t xml:space="preserve">ok z rzędu kampanię chcemy zwiększyć „żelazną” wiedzę zarówno pacjentów, jak </w:t>
      </w:r>
      <w:r w:rsidR="0074453D">
        <w:rPr>
          <w:rFonts w:ascii="Times New Roman" w:hAnsi="Times New Roman" w:cs="Times New Roman"/>
          <w:b/>
          <w:bCs/>
          <w:color w:val="002060"/>
          <w:kern w:val="0"/>
        </w:rPr>
        <w:br/>
      </w:r>
      <w:r w:rsidR="00751171">
        <w:rPr>
          <w:rFonts w:ascii="Times New Roman" w:hAnsi="Times New Roman" w:cs="Times New Roman"/>
          <w:b/>
          <w:bCs/>
          <w:color w:val="002060"/>
          <w:kern w:val="0"/>
        </w:rPr>
        <w:t>i środowiska medycznego, aby z większą czujnością zwracali uwagę na typowe objawy niedoboru żelaza, nie lekceważyli niedoboru żelaza i wsłuchiwali się w sygnały dawane przez organizm” – powiedział Grzegorz Sidorczuk, przed</w:t>
      </w:r>
      <w:r w:rsidR="00FC38E5">
        <w:rPr>
          <w:rFonts w:ascii="Times New Roman" w:hAnsi="Times New Roman" w:cs="Times New Roman"/>
          <w:b/>
          <w:bCs/>
          <w:color w:val="002060"/>
          <w:kern w:val="0"/>
        </w:rPr>
        <w:t xml:space="preserve">stawiciel organizatora kampanii. </w:t>
      </w:r>
    </w:p>
    <w:p w14:paraId="76FE1205" w14:textId="77777777" w:rsidR="00FC38E5" w:rsidRDefault="00FC38E5" w:rsidP="00712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kern w:val="0"/>
        </w:rPr>
      </w:pPr>
    </w:p>
    <w:p w14:paraId="0065003B" w14:textId="6EF1A2A2" w:rsidR="00FC38E5" w:rsidRPr="00137F87" w:rsidRDefault="00FC38E5" w:rsidP="00137F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7F87">
        <w:rPr>
          <w:color w:val="000000"/>
        </w:rPr>
        <w:t>Chcąc wziąć żelazo na poważnie, warto odwiedzić stronę inte</w:t>
      </w:r>
      <w:r w:rsidR="00F55C2C" w:rsidRPr="00137F87">
        <w:rPr>
          <w:color w:val="000000"/>
        </w:rPr>
        <w:t>rnetową oraz profile social mediowe kampanii, na których</w:t>
      </w:r>
      <w:r w:rsidRPr="00137F87">
        <w:rPr>
          <w:color w:val="000000"/>
        </w:rPr>
        <w:t xml:space="preserve"> znajdują </w:t>
      </w:r>
      <w:r w:rsidR="00CB1A8C" w:rsidRPr="00137F87">
        <w:rPr>
          <w:color w:val="000000"/>
        </w:rPr>
        <w:t xml:space="preserve">się </w:t>
      </w:r>
      <w:r w:rsidRPr="00137F87">
        <w:rPr>
          <w:color w:val="000000"/>
        </w:rPr>
        <w:t>odpowiedzi na n</w:t>
      </w:r>
      <w:r w:rsidR="00CB1A8C" w:rsidRPr="00137F87">
        <w:rPr>
          <w:color w:val="000000"/>
        </w:rPr>
        <w:t>ajczęstsze</w:t>
      </w:r>
      <w:r w:rsidRPr="00137F87">
        <w:rPr>
          <w:color w:val="000000"/>
        </w:rPr>
        <w:t xml:space="preserve"> pytani</w:t>
      </w:r>
      <w:r w:rsidR="00F55C2C" w:rsidRPr="00137F87">
        <w:rPr>
          <w:color w:val="000000"/>
        </w:rPr>
        <w:t xml:space="preserve">a związane </w:t>
      </w:r>
      <w:r w:rsidR="00F55C2C" w:rsidRPr="00137F87">
        <w:rPr>
          <w:color w:val="000000"/>
        </w:rPr>
        <w:br/>
        <w:t xml:space="preserve">z niedoborem żelaza. </w:t>
      </w:r>
    </w:p>
    <w:p w14:paraId="3DC689F0" w14:textId="77777777" w:rsidR="00FC38E5" w:rsidRDefault="00FC38E5" w:rsidP="00FC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64E89AE0" w14:textId="6CBA5812" w:rsidR="00FC38E5" w:rsidRPr="00137F87" w:rsidRDefault="00FC38E5" w:rsidP="00137F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7F87">
        <w:rPr>
          <w:color w:val="000000"/>
        </w:rPr>
        <w:t xml:space="preserve">Kampania </w:t>
      </w:r>
      <w:r w:rsidRPr="00137F87">
        <w:rPr>
          <w:b/>
          <w:bCs/>
          <w:color w:val="000000"/>
        </w:rPr>
        <w:t>„Weź żelazo na poważnie. Słuchaj swojego ciała”</w:t>
      </w:r>
      <w:r w:rsidRPr="00137F87">
        <w:rPr>
          <w:color w:val="000000"/>
        </w:rPr>
        <w:t xml:space="preserve"> realizowana jest od kilku lat przez firmę Swixx Biopharma Sp. </w:t>
      </w:r>
      <w:r w:rsidR="00137F87">
        <w:rPr>
          <w:color w:val="000000"/>
        </w:rPr>
        <w:t>z</w:t>
      </w:r>
      <w:r w:rsidRPr="00137F87">
        <w:rPr>
          <w:color w:val="000000"/>
        </w:rPr>
        <w:t xml:space="preserve"> o.o. </w:t>
      </w:r>
      <w:r w:rsidR="0074453D" w:rsidRPr="00137F87">
        <w:rPr>
          <w:color w:val="000000"/>
        </w:rPr>
        <w:t xml:space="preserve">i </w:t>
      </w:r>
      <w:r w:rsidR="00137F87">
        <w:rPr>
          <w:color w:val="000000"/>
        </w:rPr>
        <w:t xml:space="preserve">CSL </w:t>
      </w:r>
      <w:r w:rsidR="0074453D" w:rsidRPr="00137F87">
        <w:rPr>
          <w:color w:val="000000"/>
        </w:rPr>
        <w:t xml:space="preserve">Vifor </w:t>
      </w:r>
      <w:r w:rsidRPr="00137F87">
        <w:rPr>
          <w:color w:val="000000"/>
        </w:rPr>
        <w:t>zarówno w Polsce, jak i</w:t>
      </w:r>
      <w:r w:rsidR="00CB1A8C" w:rsidRPr="00137F87">
        <w:rPr>
          <w:color w:val="000000"/>
        </w:rPr>
        <w:t xml:space="preserve"> w innych krajach europejskich. </w:t>
      </w:r>
    </w:p>
    <w:p w14:paraId="5C30F6FE" w14:textId="77777777" w:rsidR="0074453D" w:rsidRPr="00FC38E5" w:rsidRDefault="0074453D" w:rsidP="00FC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2060"/>
          <w:kern w:val="0"/>
        </w:rPr>
      </w:pPr>
    </w:p>
    <w:p w14:paraId="57CDC5B1" w14:textId="2030B6DB" w:rsidR="00712ABF" w:rsidRPr="00137F87" w:rsidRDefault="0074453D" w:rsidP="00137F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7F87">
        <w:rPr>
          <w:color w:val="000000"/>
        </w:rPr>
        <w:t xml:space="preserve">Swixx Biopharma specjalizuje się w oferowaniu skutecznych terapii w </w:t>
      </w:r>
      <w:r w:rsidR="00137F87">
        <w:rPr>
          <w:color w:val="000000"/>
        </w:rPr>
        <w:t>wielu obszarach terapeutycznych</w:t>
      </w:r>
      <w:r w:rsidRPr="00137F87">
        <w:rPr>
          <w:color w:val="000000"/>
        </w:rPr>
        <w:t xml:space="preserve">. </w:t>
      </w:r>
      <w:r w:rsidR="00137F87">
        <w:rPr>
          <w:color w:val="000000"/>
        </w:rPr>
        <w:t>C</w:t>
      </w:r>
      <w:r w:rsidRPr="00137F87">
        <w:rPr>
          <w:color w:val="000000"/>
        </w:rPr>
        <w:t xml:space="preserve">horzy cierpiący z powodu </w:t>
      </w:r>
      <w:r w:rsidR="00137F87">
        <w:rPr>
          <w:color w:val="000000"/>
        </w:rPr>
        <w:t xml:space="preserve">chorób </w:t>
      </w:r>
      <w:r w:rsidRPr="00137F87">
        <w:rPr>
          <w:color w:val="000000"/>
        </w:rPr>
        <w:t>rzadkich</w:t>
      </w:r>
      <w:r w:rsidR="00137F87">
        <w:rPr>
          <w:color w:val="000000"/>
        </w:rPr>
        <w:t>, na nowotwory, pacjenci diagnozowani w obszarze gastroenterologii oraz pacjenci wymagający pomocy psychiatrycznej jak i pacjenci</w:t>
      </w:r>
      <w:r w:rsidRPr="00137F87">
        <w:rPr>
          <w:color w:val="000000"/>
        </w:rPr>
        <w:t>, u których konieczne jest dożylne podawanie preparatu żelaza,  mogą mieć dostęp do skutecznych terapii dzięki aktywnościom podejmowanym przez Swixx Biopharma. Misją firmy jest ścisła współpraca z partnerami i szerokimi społecznościami opieki zdrowotnej w celu odblokowania dostępu do innowacyjnych metod leczenia dla potrzebujących pacjentów, a ostatecznym celem jest wywarcie znaczącego i trwałego wpływu na z</w:t>
      </w:r>
      <w:r w:rsidR="00CB1A8C" w:rsidRPr="00137F87">
        <w:rPr>
          <w:color w:val="000000"/>
        </w:rPr>
        <w:t>drowie jednostek i społeczności, co realizowane jest m.in. przez takie kampanie jak „Weź żelazo na poważnie. Słuchaj swojego ciała”.</w:t>
      </w:r>
    </w:p>
    <w:p w14:paraId="7CF0413B" w14:textId="77777777" w:rsidR="006850CA" w:rsidRPr="0074453D" w:rsidRDefault="006850CA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0435A926" w14:textId="4BBC79DE" w:rsidR="008C2202" w:rsidRDefault="00F55C2C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1BF5" wp14:editId="56B69372">
                <wp:simplePos x="0" y="0"/>
                <wp:positionH relativeFrom="column">
                  <wp:posOffset>-33021</wp:posOffset>
                </wp:positionH>
                <wp:positionV relativeFrom="paragraph">
                  <wp:posOffset>43180</wp:posOffset>
                </wp:positionV>
                <wp:extent cx="58197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64EEC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4pt" to="455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A9zQEAAM8DAAAOAAAAZHJzL2Uyb0RvYy54bWysU02P0zAQvSPxHyzfaZKVyu5GTfewK7gg&#10;qIDl7nXGjYW/NDZNw40D/wz+F2OnDQgQEoiLlbFn3pv3ZrK5OVrDDoBRe9fxZlVzBk76Xrt9x+/f&#10;PntyxVlMwvXCeAcdnyDym+3jR5sxtHDhB296QEYgLrZj6PiQUmirKsoBrIgrH8DRo/JoRaIQ91WP&#10;YiR0a6qLun5ajR77gF5CjHR7Nz/ybcFXCmR6pVSExEzHqbdUTiznQz6r7Ua0exRh0PLUhviHLqzQ&#10;jkgXqDuRBPuA+hcoqyX66FVaSW8rr5SWUDSQmqb+Sc2bQQQoWsicGBab4v+DlS8PO2S67/iaMycs&#10;jejrpy+f5Uen3zPyNaaJrbNLY4gtJd+6HZ6iGHaYJR8VWqaMDu9oAYoJJIsdi8fT4jEcE5N0ub5q&#10;ri8viUzSW3Ndr8sMqhkmwwWM6Tl4S+yRxmW0yxaIVhxexETUlHpOoSC3NTdSvtJkICcb9xoUySLC&#10;uaWyUHBrkB0ErYKQElxqsjDCK9m5TGljlsK60P6x8JSfS6Es298ULxWF2bu0FFvtPP6OPR3PLas5&#10;/+zArDtb8OD7qYyoWENbUxSeNjyv5Y9xKf/+H26/AQAA//8DAFBLAwQUAAYACAAAACEAYqrTqd0A&#10;AAAGAQAADwAAAGRycy9kb3ducmV2LnhtbEyPQUvDQBCF74L/YRnBi7SbRCw1ZlNE1EM9tSrobZId&#10;k9DsbMhu0/jvHU96e8N7vPdNsZldryYaQ+fZQLpMQBHX3nbcGHh7fVqsQYWIbLH3TAa+KcCmPD8r&#10;MLf+xDua9rFRUsIhRwNtjEOudahbchiWfiAW78uPDqOcY6PtiCcpd73OkmSlHXYsCy0O9NBSfdgf&#10;nYHP4MPj+7aang+77YxXLzH7qK0xlxfz/R2oSHP8C8MvvqBDKUyVP7INqjewuMkkaWAlD4h9m6bX&#10;oCoRa9Blof/jlz8AAAD//wMAUEsBAi0AFAAGAAgAAAAhALaDOJL+AAAA4QEAABMAAAAAAAAAAAAA&#10;AAAAAAAAAFtDb250ZW50X1R5cGVzXS54bWxQSwECLQAUAAYACAAAACEAOP0h/9YAAACUAQAACwAA&#10;AAAAAAAAAAAAAAAvAQAAX3JlbHMvLnJlbHNQSwECLQAUAAYACAAAACEA2YcQPc0BAADPAwAADgAA&#10;AAAAAAAAAAAAAAAuAgAAZHJzL2Uyb0RvYy54bWxQSwECLQAUAAYACAAAACEAYqrTqd0AAAAG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19A6CDF4" w14:textId="2ACE9944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2F37D77E" w14:textId="5CB056F2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  <w:r w:rsidRPr="008C2202">
        <w:rPr>
          <w:rFonts w:ascii="Times New Roman" w:hAnsi="Times New Roman" w:cs="Times New Roman"/>
          <w:i/>
          <w:kern w:val="0"/>
        </w:rPr>
        <w:t>Powyższy materia</w:t>
      </w:r>
      <w:r w:rsidR="00FC38E5">
        <w:rPr>
          <w:rFonts w:ascii="Times New Roman" w:hAnsi="Times New Roman" w:cs="Times New Roman"/>
          <w:i/>
          <w:kern w:val="0"/>
        </w:rPr>
        <w:t xml:space="preserve">ł nie stanowi porady medycznej i nie powinien być traktowany jako zastępstwo konsultacji z profesjonalistą z dziedziny opieki zdrowotnej. Wszelkie decyzje dotyczące postępowania medycznego powinny być podejmowane przez profesjonalistów </w:t>
      </w:r>
      <w:r w:rsidR="006850CA">
        <w:rPr>
          <w:rFonts w:ascii="Times New Roman" w:hAnsi="Times New Roman" w:cs="Times New Roman"/>
          <w:i/>
          <w:kern w:val="0"/>
        </w:rPr>
        <w:br/>
      </w:r>
      <w:r w:rsidR="00FC38E5">
        <w:rPr>
          <w:rFonts w:ascii="Times New Roman" w:hAnsi="Times New Roman" w:cs="Times New Roman"/>
          <w:i/>
          <w:kern w:val="0"/>
        </w:rPr>
        <w:t xml:space="preserve">z dziedziny opieki zdrowotnej i muszą odpowiadać indywidualnym potrzebom każdego pacjenta. </w:t>
      </w:r>
    </w:p>
    <w:p w14:paraId="1017EA12" w14:textId="77777777" w:rsidR="00FC38E5" w:rsidRDefault="00FC38E5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</w:p>
    <w:p w14:paraId="74206C67" w14:textId="77777777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</w:p>
    <w:p w14:paraId="1AEB93B9" w14:textId="29373C0D" w:rsidR="008C2202" w:rsidRPr="000F0B5E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kern w:val="0"/>
        </w:rPr>
      </w:pPr>
      <w:r w:rsidRPr="000F0B5E">
        <w:rPr>
          <w:rFonts w:ascii="Times New Roman" w:hAnsi="Times New Roman" w:cs="Times New Roman"/>
          <w:b/>
          <w:color w:val="002060"/>
          <w:kern w:val="0"/>
        </w:rPr>
        <w:t>Kontakt dla mediów:</w:t>
      </w:r>
    </w:p>
    <w:p w14:paraId="0EBEC4D2" w14:textId="4B94ACB2" w:rsidR="008C2202" w:rsidRPr="000F0B5E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0F0B5E">
        <w:rPr>
          <w:rFonts w:ascii="Times New Roman" w:hAnsi="Times New Roman" w:cs="Times New Roman"/>
          <w:b/>
          <w:kern w:val="0"/>
        </w:rPr>
        <w:t>Jakub Diakun</w:t>
      </w:r>
      <w:r w:rsidRPr="000F0B5E">
        <w:rPr>
          <w:rFonts w:ascii="Times New Roman" w:hAnsi="Times New Roman" w:cs="Times New Roman"/>
          <w:kern w:val="0"/>
        </w:rPr>
        <w:t xml:space="preserve">, </w:t>
      </w:r>
      <w:hyperlink r:id="rId10" w:history="1">
        <w:r w:rsidRPr="000F0B5E">
          <w:rPr>
            <w:rStyle w:val="Hipercze"/>
            <w:rFonts w:ascii="Times New Roman" w:hAnsi="Times New Roman" w:cs="Times New Roman"/>
            <w:kern w:val="0"/>
          </w:rPr>
          <w:t>jakub@dwconsulting.com,.pl</w:t>
        </w:r>
      </w:hyperlink>
      <w:r w:rsidRPr="000F0B5E">
        <w:rPr>
          <w:rFonts w:ascii="Times New Roman" w:hAnsi="Times New Roman" w:cs="Times New Roman"/>
          <w:kern w:val="0"/>
        </w:rPr>
        <w:t xml:space="preserve"> tel. 609 874 447 </w:t>
      </w:r>
    </w:p>
    <w:p w14:paraId="47078980" w14:textId="45955AD8" w:rsidR="008C2202" w:rsidRPr="000F0B5E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0F0B5E">
        <w:rPr>
          <w:rFonts w:ascii="Times New Roman" w:hAnsi="Times New Roman" w:cs="Times New Roman"/>
          <w:b/>
          <w:kern w:val="0"/>
        </w:rPr>
        <w:t>Dagmara Wdowczyk</w:t>
      </w:r>
      <w:r w:rsidRPr="000F0B5E">
        <w:rPr>
          <w:rFonts w:ascii="Times New Roman" w:hAnsi="Times New Roman" w:cs="Times New Roman"/>
          <w:kern w:val="0"/>
        </w:rPr>
        <w:t xml:space="preserve">, </w:t>
      </w:r>
      <w:hyperlink r:id="rId11" w:history="1">
        <w:r w:rsidRPr="000F0B5E">
          <w:rPr>
            <w:rStyle w:val="Hipercze"/>
            <w:rFonts w:ascii="Times New Roman" w:hAnsi="Times New Roman" w:cs="Times New Roman"/>
            <w:kern w:val="0"/>
          </w:rPr>
          <w:t>dagmara@dwconsulting.com.pl</w:t>
        </w:r>
      </w:hyperlink>
      <w:r w:rsidRPr="000F0B5E">
        <w:rPr>
          <w:rFonts w:ascii="Times New Roman" w:hAnsi="Times New Roman" w:cs="Times New Roman"/>
          <w:kern w:val="0"/>
        </w:rPr>
        <w:t xml:space="preserve"> tel. 609 084 895 </w:t>
      </w:r>
    </w:p>
    <w:p w14:paraId="0DCAF45A" w14:textId="77777777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</w:p>
    <w:p w14:paraId="3E0CD90B" w14:textId="77777777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</w:p>
    <w:p w14:paraId="0DEF4541" w14:textId="69AE7A6C" w:rsidR="008C2202" w:rsidRDefault="008C2202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0"/>
        </w:rPr>
      </w:pPr>
    </w:p>
    <w:p w14:paraId="2F408251" w14:textId="7609CFA7" w:rsidR="008C2202" w:rsidRPr="000F0B5E" w:rsidRDefault="0010580E" w:rsidP="008C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  <w:hyperlink r:id="rId12" w:history="1">
        <w:r w:rsidR="008C2202" w:rsidRPr="000F0B5E">
          <w:rPr>
            <w:rStyle w:val="Hipercze"/>
            <w:rFonts w:ascii="Times New Roman" w:hAnsi="Times New Roman" w:cs="Times New Roman"/>
            <w:b/>
            <w:kern w:val="0"/>
          </w:rPr>
          <w:t>www.takeironseriously.com/pl</w:t>
        </w:r>
      </w:hyperlink>
      <w:r w:rsidR="008C2202" w:rsidRPr="000F0B5E">
        <w:rPr>
          <w:rFonts w:ascii="Times New Roman" w:hAnsi="Times New Roman" w:cs="Times New Roman"/>
          <w:b/>
          <w:kern w:val="0"/>
        </w:rPr>
        <w:t xml:space="preserve"> </w:t>
      </w:r>
    </w:p>
    <w:p w14:paraId="68C78391" w14:textId="77777777" w:rsidR="008C2202" w:rsidRPr="000F0B5E" w:rsidRDefault="008C2202" w:rsidP="008C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</w:p>
    <w:p w14:paraId="2351DBC2" w14:textId="6A6967FF" w:rsidR="008C2202" w:rsidRPr="000F0B5E" w:rsidRDefault="0010580E" w:rsidP="008C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  <w:hyperlink r:id="rId13" w:history="1">
        <w:r w:rsidR="008C2202" w:rsidRPr="000F0B5E">
          <w:rPr>
            <w:rStyle w:val="Hipercze"/>
            <w:rFonts w:ascii="Times New Roman" w:hAnsi="Times New Roman" w:cs="Times New Roman"/>
            <w:b/>
            <w:kern w:val="0"/>
          </w:rPr>
          <w:t>https://www.facebook.com/profile.php?id=61552193593542</w:t>
        </w:r>
      </w:hyperlink>
    </w:p>
    <w:p w14:paraId="41E025A1" w14:textId="77777777" w:rsidR="008C2202" w:rsidRPr="000F0B5E" w:rsidRDefault="008C2202" w:rsidP="008C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</w:p>
    <w:p w14:paraId="5C71A473" w14:textId="2FB345FD" w:rsidR="008C2202" w:rsidRDefault="0010580E" w:rsidP="008C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  <w:hyperlink r:id="rId14" w:history="1">
        <w:r w:rsidR="008C2202" w:rsidRPr="000F0B5E">
          <w:rPr>
            <w:rStyle w:val="Hipercze"/>
            <w:rFonts w:ascii="Times New Roman" w:hAnsi="Times New Roman" w:cs="Times New Roman"/>
            <w:b/>
            <w:kern w:val="0"/>
          </w:rPr>
          <w:t>https://www.instagram.com/wez_zelazo_na_powaznie_/</w:t>
        </w:r>
      </w:hyperlink>
    </w:p>
    <w:p w14:paraId="7BBB54C7" w14:textId="53DA1095" w:rsidR="006850CA" w:rsidRPr="000F0B5E" w:rsidRDefault="006850CA" w:rsidP="00F55C2C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</w:rPr>
      </w:pPr>
    </w:p>
    <w:p w14:paraId="1FB0CD56" w14:textId="224ECCA8" w:rsidR="001D1164" w:rsidRDefault="008A1395" w:rsidP="008A1395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</w:rPr>
      </w:pPr>
      <w:r w:rsidRPr="008A1395">
        <w:rPr>
          <w:rFonts w:ascii="Times New Roman" w:hAnsi="Times New Roman" w:cs="Times New Roman"/>
          <w:b/>
          <w:noProof/>
          <w:kern w:val="0"/>
          <w:lang w:eastAsia="pl-PL"/>
        </w:rPr>
        <w:drawing>
          <wp:inline distT="0" distB="0" distL="0" distR="0" wp14:anchorId="440E0C8B" wp14:editId="5C0BCBCB">
            <wp:extent cx="5760720" cy="1278255"/>
            <wp:effectExtent l="0" t="0" r="0" b="0"/>
            <wp:docPr id="1174022625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022625" name="Obraz 1" descr="Obraz zawierający tekst, Czcionka, zrzut ekranu, biały&#10;&#10;Opis wygenerowany automatyczni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F22" w14:textId="77777777" w:rsidR="001D1164" w:rsidRDefault="001D1164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 w:val="20"/>
          <w:szCs w:val="20"/>
        </w:rPr>
      </w:pPr>
    </w:p>
    <w:p w14:paraId="17081F0D" w14:textId="19614D67" w:rsidR="00A647D9" w:rsidRPr="00A647D9" w:rsidRDefault="00A647D9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A647D9">
        <w:rPr>
          <w:rFonts w:ascii="Times New Roman" w:hAnsi="Times New Roman" w:cs="Times New Roman"/>
          <w:bCs/>
          <w:kern w:val="0"/>
          <w:sz w:val="20"/>
          <w:szCs w:val="20"/>
        </w:rPr>
        <w:t>NM-PL-2023-11-5939</w:t>
      </w:r>
    </w:p>
    <w:p w14:paraId="583BEBA8" w14:textId="0D203626" w:rsidR="00A647D9" w:rsidRPr="00A647D9" w:rsidRDefault="00A647D9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A647D9">
        <w:rPr>
          <w:rFonts w:ascii="Times New Roman" w:hAnsi="Times New Roman" w:cs="Times New Roman"/>
          <w:bCs/>
          <w:kern w:val="0"/>
          <w:sz w:val="20"/>
          <w:szCs w:val="20"/>
        </w:rPr>
        <w:t xml:space="preserve">Data zatwierdzenia: 19.11.2023 r. </w:t>
      </w:r>
    </w:p>
    <w:p w14:paraId="544AB8CC" w14:textId="77777777" w:rsidR="00A647D9" w:rsidRPr="005F74BF" w:rsidRDefault="00A647D9" w:rsidP="003E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 w:val="20"/>
          <w:szCs w:val="20"/>
        </w:rPr>
      </w:pPr>
    </w:p>
    <w:p w14:paraId="74DFE299" w14:textId="63990517" w:rsidR="001D1164" w:rsidRPr="005F74BF" w:rsidRDefault="001D1164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4A7DC9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 xml:space="preserve">Barton JC, et al. BMC Blood Disord. 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2010;10:9. Doi:10.1186/1471-2326-10-9;2.</w:t>
      </w:r>
    </w:p>
    <w:p w14:paraId="23CE0E2A" w14:textId="0146D56B" w:rsidR="001D1164" w:rsidRPr="005F74BF" w:rsidRDefault="001D1164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Strona internetowa: </w:t>
      </w:r>
      <w:bookmarkStart w:id="1" w:name="_Hlk150160674"/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fldChar w:fldCharType="begin"/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instrText>HYPERLINK "https://www.takeironseriously.com/pl/zwieksz-swiadomosc/o-nas"</w:instrTex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fldChar w:fldCharType="separate"/>
      </w:r>
      <w:r w:rsidRPr="005F74BF">
        <w:rPr>
          <w:rStyle w:val="Hipercze"/>
          <w:rFonts w:ascii="Times New Roman" w:hAnsi="Times New Roman" w:cs="Times New Roman"/>
          <w:sz w:val="19"/>
          <w:szCs w:val="19"/>
          <w:shd w:val="clear" w:color="auto" w:fill="FFFFFF"/>
        </w:rPr>
        <w:t>https://www.takeironseriously.com/pl/zwieksz-swiadomosc/o-nas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fldChar w:fldCharType="end"/>
      </w:r>
      <w:bookmarkEnd w:id="1"/>
      <w:r w:rsidR="005F74BF"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 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(</w:t>
      </w:r>
      <w:r w:rsidR="005F74BF"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d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ostęp 6.11.2023</w:t>
      </w:r>
      <w:r w:rsidR="005F74BF"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 r.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)</w:t>
      </w:r>
    </w:p>
    <w:p w14:paraId="1466F5FD" w14:textId="3E87B5D1" w:rsidR="003E69BD" w:rsidRPr="005F74BF" w:rsidRDefault="003E69BD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 xml:space="preserve">Auerbach M, Adamson JW Am J Hematol. 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2016;91(1):31-38.;</w:t>
      </w:r>
    </w:p>
    <w:p w14:paraId="1DC3EC09" w14:textId="2A74D3B2" w:rsidR="003E69BD" w:rsidRPr="005F74BF" w:rsidRDefault="003E69BD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 xml:space="preserve">Fernando B, et al. World J Gastroenterol. </w:t>
      </w: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2009 Oct 7; 15(37): 4638-4643</w:t>
      </w:r>
    </w:p>
    <w:p w14:paraId="281167D7" w14:textId="51959009" w:rsidR="003E69BD" w:rsidRPr="005F74BF" w:rsidRDefault="003E69BD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Favrat B., et al. PLOS One 9(4): e94217. eCollection 2014</w:t>
      </w:r>
    </w:p>
    <w:p w14:paraId="2CF45B98" w14:textId="03F69E66" w:rsidR="005F74BF" w:rsidRPr="005F74BF" w:rsidRDefault="0010580E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hyperlink r:id="rId16" w:history="1">
        <w:r w:rsidR="005F74BF" w:rsidRPr="005F74BF">
          <w:rPr>
            <w:rStyle w:val="Hipercze"/>
            <w:rFonts w:ascii="Times New Roman" w:hAnsi="Times New Roman" w:cs="Times New Roman"/>
            <w:sz w:val="19"/>
            <w:szCs w:val="19"/>
            <w:shd w:val="clear" w:color="auto" w:fill="FFFFFF"/>
          </w:rPr>
          <w:t>https://www.takeironseriously.com/pl/niedobor-zelaza/czy-przyjmujesz-wystarczajaca-ilosc-zelaza</w:t>
        </w:r>
      </w:hyperlink>
      <w:r w:rsidR="005F74BF"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 (dostęp 6.11.2023 r.)</w:t>
      </w:r>
    </w:p>
    <w:p w14:paraId="062F0A36" w14:textId="55A75CC2" w:rsidR="005F74BF" w:rsidRDefault="005F74BF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5F74BF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Trost LB, et al. J Am Acad Dermatol. 2006;54(5):824-44.; 7.</w:t>
      </w:r>
    </w:p>
    <w:p w14:paraId="5B4BD378" w14:textId="5CB3F53A" w:rsidR="00702037" w:rsidRDefault="00702037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702037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Pavord S, et al.BJH 2020; 188: 819-30</w:t>
      </w:r>
    </w:p>
    <w:p w14:paraId="6DB9FD68" w14:textId="4B80D4B6" w:rsidR="00702037" w:rsidRDefault="00702037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702037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Api O, et al. Turk J Obstet Gyncecol 2015 2015;12: 173-8</w:t>
      </w:r>
    </w:p>
    <w:p w14:paraId="771934FD" w14:textId="2100B061" w:rsidR="00702037" w:rsidRDefault="00702037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702037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Beard JL. J Nutr 2001; 131: 568-80</w:t>
      </w:r>
    </w:p>
    <w:p w14:paraId="1E58E27B" w14:textId="191493C6" w:rsidR="00A535C6" w:rsidRDefault="00A535C6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A535C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Lumish RA, et al. The Journal of Nutrition 2014; 114 (10):1533-9</w:t>
      </w:r>
    </w:p>
    <w:p w14:paraId="75E08218" w14:textId="4ACED9F2" w:rsidR="00A535C6" w:rsidRDefault="00A535C6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A535C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Kantor J.Journal of Invetsugative Dermatology 2003; 121(5): 958-8</w:t>
      </w:r>
    </w:p>
    <w:p w14:paraId="16D603EB" w14:textId="32216C71" w:rsidR="00A535C6" w:rsidRDefault="00A535C6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A535C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Schieffer KM, et al. JAMA Otolaryngol Neck Surg. 2017;(800).</w:t>
      </w:r>
    </w:p>
    <w:p w14:paraId="1493811C" w14:textId="4BB9D613" w:rsidR="006A4FBB" w:rsidRDefault="006A4FBB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6A4FBB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Whitfield A, et al. Iron Deficiency Anemia Diagnosed in Female Teenagers. J Family Med Community Health. 2015. 2(7): 1058.</w:t>
      </w:r>
    </w:p>
    <w:p w14:paraId="10737338" w14:textId="498EB169" w:rsidR="00B920C2" w:rsidRDefault="00B920C2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B920C2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Milman N. Ann Hematol. 2008;87(12):949–959.</w:t>
      </w:r>
    </w:p>
    <w:p w14:paraId="694F31C6" w14:textId="37ED24B8" w:rsidR="00B920C2" w:rsidRDefault="00B920C2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B920C2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World Health Organization. WHO guideline on use of ferritin concentrations to assess iron status in individuals and populations.;2020</w:t>
      </w:r>
    </w:p>
    <w:p w14:paraId="6C9C624B" w14:textId="0028F8DB" w:rsidR="00B920C2" w:rsidRDefault="00B920C2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B920C2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Centre for Disease Control. Iron Status Indicators: National Report on Biochemical Indicators of Diet and Nutrition in the U.S. P</w:t>
      </w:r>
      <w:r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o</w:t>
      </w:r>
      <w:r w:rsidRPr="00B920C2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pulation 1999-2002</w:t>
      </w:r>
    </w:p>
    <w:p w14:paraId="73291F96" w14:textId="149E0D21" w:rsidR="00A57CAE" w:rsidRDefault="00A57CAE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</w:pPr>
      <w:r w:rsidRPr="00A57CAE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>Soldin P et al. Clin Chim Acta. 2004 April ; 342(0): 211–217</w:t>
      </w:r>
    </w:p>
    <w:p w14:paraId="75863AC4" w14:textId="71AFAD7E" w:rsidR="006D7BB6" w:rsidRDefault="0010580E" w:rsidP="005F74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hyperlink r:id="rId17" w:history="1">
        <w:r w:rsidR="006D7BB6" w:rsidRPr="006D7BB6">
          <w:rPr>
            <w:rStyle w:val="Hipercze"/>
            <w:rFonts w:ascii="Times New Roman" w:hAnsi="Times New Roman" w:cs="Times New Roman"/>
            <w:sz w:val="19"/>
            <w:szCs w:val="19"/>
            <w:shd w:val="clear" w:color="auto" w:fill="FFFFFF"/>
          </w:rPr>
          <w:t>https://hematoonkologia.pl/aktualnosci/news/id/4247-anemia-nie-zawsze-taka-oczywista-dozylne-podanie-preparatow-zelaza-w-praktyce</w:t>
        </w:r>
      </w:hyperlink>
      <w:r w:rsidR="006D7BB6" w:rsidRPr="006D7BB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 (do</w:t>
      </w:r>
      <w:r w:rsidR="006D7BB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stęp 6.11.2023 r.)</w:t>
      </w:r>
    </w:p>
    <w:p w14:paraId="390BA39F" w14:textId="3519D2A6" w:rsidR="006D7BB6" w:rsidRPr="006D7BB6" w:rsidRDefault="006D7BB6" w:rsidP="007C612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</w:pPr>
      <w:r w:rsidRPr="006D7BB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  <w:lang w:val="en-US"/>
        </w:rPr>
        <w:t xml:space="preserve">Cashman MW, Sloan SB. Nutrition and nail disease. </w:t>
      </w:r>
      <w:r w:rsidRPr="006D7BB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Clin Dermatol.</w:t>
      </w:r>
      <w:r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 xml:space="preserve"> </w:t>
      </w:r>
      <w:r w:rsidRPr="006D7BB6">
        <w:rPr>
          <w:rFonts w:ascii="Times New Roman" w:hAnsi="Times New Roman" w:cs="Times New Roman"/>
          <w:color w:val="444444"/>
          <w:sz w:val="19"/>
          <w:szCs w:val="19"/>
          <w:shd w:val="clear" w:color="auto" w:fill="FFFFFF"/>
        </w:rPr>
        <w:t>2010;28(4):420-5.</w:t>
      </w:r>
    </w:p>
    <w:sectPr w:rsidR="006D7BB6" w:rsidRPr="006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5A3F" w14:textId="77777777" w:rsidR="0010580E" w:rsidRDefault="0010580E" w:rsidP="00BC7F26">
      <w:r>
        <w:separator/>
      </w:r>
    </w:p>
  </w:endnote>
  <w:endnote w:type="continuationSeparator" w:id="0">
    <w:p w14:paraId="7430C947" w14:textId="77777777" w:rsidR="0010580E" w:rsidRDefault="0010580E" w:rsidP="00B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26C8" w14:textId="77777777" w:rsidR="0010580E" w:rsidRDefault="0010580E" w:rsidP="00BC7F26">
      <w:r>
        <w:separator/>
      </w:r>
    </w:p>
  </w:footnote>
  <w:footnote w:type="continuationSeparator" w:id="0">
    <w:p w14:paraId="7BC9A2C9" w14:textId="77777777" w:rsidR="0010580E" w:rsidRDefault="0010580E" w:rsidP="00BC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25A9"/>
    <w:multiLevelType w:val="hybridMultilevel"/>
    <w:tmpl w:val="814E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79"/>
    <w:multiLevelType w:val="multilevel"/>
    <w:tmpl w:val="3AE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15F5"/>
    <w:multiLevelType w:val="multilevel"/>
    <w:tmpl w:val="21E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04B36"/>
    <w:multiLevelType w:val="multilevel"/>
    <w:tmpl w:val="3A6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643C5"/>
    <w:multiLevelType w:val="hybridMultilevel"/>
    <w:tmpl w:val="082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46"/>
    <w:multiLevelType w:val="multilevel"/>
    <w:tmpl w:val="0F06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A"/>
    <w:rsid w:val="00093DA5"/>
    <w:rsid w:val="000F0B5E"/>
    <w:rsid w:val="0010580E"/>
    <w:rsid w:val="001361CD"/>
    <w:rsid w:val="00137F87"/>
    <w:rsid w:val="001D1164"/>
    <w:rsid w:val="001D59CA"/>
    <w:rsid w:val="00270F86"/>
    <w:rsid w:val="002952B5"/>
    <w:rsid w:val="0038626E"/>
    <w:rsid w:val="003B0AD4"/>
    <w:rsid w:val="003E2330"/>
    <w:rsid w:val="003E69BD"/>
    <w:rsid w:val="003E729E"/>
    <w:rsid w:val="00452876"/>
    <w:rsid w:val="0045452B"/>
    <w:rsid w:val="00496A44"/>
    <w:rsid w:val="004A7DC9"/>
    <w:rsid w:val="004D0D7F"/>
    <w:rsid w:val="004F4D69"/>
    <w:rsid w:val="00501A9F"/>
    <w:rsid w:val="0050420A"/>
    <w:rsid w:val="005676B3"/>
    <w:rsid w:val="005F74BF"/>
    <w:rsid w:val="00636BB7"/>
    <w:rsid w:val="00647AC2"/>
    <w:rsid w:val="006850CA"/>
    <w:rsid w:val="006A4FBB"/>
    <w:rsid w:val="006D7BB6"/>
    <w:rsid w:val="00702037"/>
    <w:rsid w:val="00712ABF"/>
    <w:rsid w:val="0074453D"/>
    <w:rsid w:val="00751171"/>
    <w:rsid w:val="00762539"/>
    <w:rsid w:val="008733BA"/>
    <w:rsid w:val="008A1395"/>
    <w:rsid w:val="008C2202"/>
    <w:rsid w:val="008D5FF7"/>
    <w:rsid w:val="00916D15"/>
    <w:rsid w:val="00951F1D"/>
    <w:rsid w:val="009967AA"/>
    <w:rsid w:val="00A535C6"/>
    <w:rsid w:val="00A57CAE"/>
    <w:rsid w:val="00A647D9"/>
    <w:rsid w:val="00A944DB"/>
    <w:rsid w:val="00AD1161"/>
    <w:rsid w:val="00B920C2"/>
    <w:rsid w:val="00BC7F26"/>
    <w:rsid w:val="00CB1A8C"/>
    <w:rsid w:val="00CB2B4A"/>
    <w:rsid w:val="00CB6821"/>
    <w:rsid w:val="00D55F80"/>
    <w:rsid w:val="00D820B7"/>
    <w:rsid w:val="00DE771D"/>
    <w:rsid w:val="00EA3EAA"/>
    <w:rsid w:val="00EB5138"/>
    <w:rsid w:val="00F102B4"/>
    <w:rsid w:val="00F55C2C"/>
    <w:rsid w:val="00FC081E"/>
    <w:rsid w:val="00FC38E5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2A3"/>
  <w15:chartTrackingRefBased/>
  <w15:docId w15:val="{55D86EC8-FDB4-964C-B8AB-6B714B5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3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0A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A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7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850CA"/>
    <w:rPr>
      <w:b/>
      <w:bCs/>
    </w:rPr>
  </w:style>
  <w:style w:type="paragraph" w:styleId="Akapitzlist">
    <w:name w:val="List Paragraph"/>
    <w:basedOn w:val="Normalny"/>
    <w:uiPriority w:val="34"/>
    <w:qFormat/>
    <w:rsid w:val="001D11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profile.php?id=615521935935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keironseriously.com/pl" TargetMode="External"/><Relationship Id="rId17" Type="http://schemas.openxmlformats.org/officeDocument/2006/relationships/hyperlink" Target="https://hematoonkologia.pl/aktualnosci/news/id/4247-anemia-nie-zawsze-taka-oczywista-dozylne-podanie-preparatow-zelaza-w-prakty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keironseriously.com/pl/niedobor-zelaza/czy-przyjmujesz-wystarczajaca-ilosc-zela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a@dwconsulting.com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akub@dwconsulting.com,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wez_zelazo_na_powaznie_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01CC-39D7-4DB1-A8EF-449ADC8A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Diakun</dc:creator>
  <cp:keywords/>
  <dc:description/>
  <cp:lastModifiedBy>dagmara Wdowczyk</cp:lastModifiedBy>
  <cp:revision>2</cp:revision>
  <cp:lastPrinted>2023-10-31T18:56:00Z</cp:lastPrinted>
  <dcterms:created xsi:type="dcterms:W3CDTF">2023-11-20T21:54:00Z</dcterms:created>
  <dcterms:modified xsi:type="dcterms:W3CDTF">2023-11-20T21:54:00Z</dcterms:modified>
</cp:coreProperties>
</file>